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E48EFE"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r>
        <w:rPr>
          <w:rFonts w:ascii="黑体" w:hAnsi="黑体" w:eastAsia="黑体"/>
          <w:sz w:val="32"/>
          <w:szCs w:val="32"/>
        </w:rPr>
        <w:t>宗教</w:t>
      </w:r>
      <w:r>
        <w:rPr>
          <w:rFonts w:hint="eastAsia" w:ascii="黑体" w:hAnsi="黑体" w:eastAsia="黑体"/>
          <w:sz w:val="32"/>
          <w:szCs w:val="32"/>
        </w:rPr>
        <w:t>哲学</w:t>
      </w:r>
      <w:r>
        <w:rPr>
          <w:rFonts w:ascii="黑体" w:hAnsi="黑体" w:eastAsia="黑体"/>
          <w:sz w:val="32"/>
          <w:szCs w:val="32"/>
        </w:rPr>
        <w:t>经典</w:t>
      </w:r>
      <w:r>
        <w:rPr>
          <w:rFonts w:hint="eastAsia" w:ascii="黑体" w:hAnsi="黑体" w:eastAsia="黑体"/>
          <w:sz w:val="32"/>
          <w:szCs w:val="32"/>
        </w:rPr>
        <w:t>研</w:t>
      </w:r>
      <w:r>
        <w:rPr>
          <w:rFonts w:ascii="黑体" w:hAnsi="黑体" w:eastAsia="黑体"/>
          <w:sz w:val="32"/>
          <w:szCs w:val="32"/>
        </w:rPr>
        <w:t>读</w:t>
      </w:r>
      <w:r>
        <w:rPr>
          <w:rFonts w:hint="eastAsia" w:ascii="黑体" w:hAnsi="黑体" w:eastAsia="黑体"/>
          <w:sz w:val="32"/>
          <w:szCs w:val="32"/>
        </w:rPr>
        <w:t>》课程教学大纲</w:t>
      </w:r>
    </w:p>
    <w:p w14:paraId="658B52E4"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 w14:paraId="18CC1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4FE564A5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5EB65DD1"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sz w:val="18"/>
                <w:szCs w:val="18"/>
              </w:rPr>
              <w:t>Reading and Analysis of Classical Religious Philosophy Texts</w:t>
            </w:r>
          </w:p>
        </w:tc>
        <w:tc>
          <w:tcPr>
            <w:tcW w:w="1134" w:type="dxa"/>
            <w:vAlign w:val="center"/>
          </w:tcPr>
          <w:p w14:paraId="281CCB43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3DC67220"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sz w:val="18"/>
                <w:szCs w:val="18"/>
              </w:rPr>
              <w:t>PHIL303</w:t>
            </w:r>
            <w:r>
              <w:rPr>
                <w:rFonts w:hint="eastAsia"/>
                <w:sz w:val="18"/>
                <w:szCs w:val="18"/>
              </w:rPr>
              <w:t>9</w:t>
            </w:r>
          </w:p>
        </w:tc>
      </w:tr>
      <w:tr w14:paraId="51E74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5D55DF33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1414C02D">
            <w:pPr>
              <w:spacing w:before="156" w:beforeLines="50" w:after="156" w:afterLines="50"/>
              <w:jc w:val="lef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</w:rPr>
              <w:t>专业</w:t>
            </w:r>
            <w:r>
              <w:rPr>
                <w:rFonts w:hint="eastAsia" w:ascii="宋体" w:hAnsi="宋体" w:eastAsia="宋体"/>
                <w:lang w:val="en-US" w:eastAsia="zh-CN"/>
              </w:rPr>
              <w:t>核心课程</w:t>
            </w:r>
            <w:bookmarkStart w:id="2" w:name="_GoBack"/>
            <w:bookmarkEnd w:id="2"/>
          </w:p>
        </w:tc>
        <w:tc>
          <w:tcPr>
            <w:tcW w:w="1134" w:type="dxa"/>
            <w:vAlign w:val="center"/>
          </w:tcPr>
          <w:p w14:paraId="4EAADCFE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422E26E6"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本科生</w:t>
            </w:r>
          </w:p>
        </w:tc>
      </w:tr>
      <w:tr w14:paraId="60C8E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39CCD578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3AE7B521"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3</w:t>
            </w:r>
          </w:p>
        </w:tc>
        <w:tc>
          <w:tcPr>
            <w:tcW w:w="1134" w:type="dxa"/>
            <w:vAlign w:val="center"/>
          </w:tcPr>
          <w:p w14:paraId="04475ABF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0A02A423"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5</w:t>
            </w:r>
            <w:r>
              <w:rPr>
                <w:rFonts w:ascii="宋体" w:hAnsi="宋体" w:eastAsia="宋体"/>
              </w:rPr>
              <w:t>1</w:t>
            </w:r>
          </w:p>
        </w:tc>
      </w:tr>
      <w:tr w14:paraId="421E1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010D0179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4BECFDA4"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李薇</w:t>
            </w:r>
          </w:p>
        </w:tc>
        <w:tc>
          <w:tcPr>
            <w:tcW w:w="1134" w:type="dxa"/>
            <w:vAlign w:val="center"/>
          </w:tcPr>
          <w:p w14:paraId="0F2AD75E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3ADC1DDB"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024</w:t>
            </w:r>
            <w:r>
              <w:rPr>
                <w:rFonts w:hint="eastAsia" w:ascii="宋体" w:hAnsi="宋体" w:eastAsia="宋体"/>
              </w:rPr>
              <w:t>年8月</w:t>
            </w:r>
            <w:r>
              <w:rPr>
                <w:rFonts w:ascii="宋体" w:hAnsi="宋体" w:eastAsia="宋体"/>
              </w:rPr>
              <w:t>4</w:t>
            </w:r>
            <w:r>
              <w:rPr>
                <w:rFonts w:hint="eastAsia" w:ascii="宋体" w:hAnsi="宋体" w:eastAsia="宋体"/>
              </w:rPr>
              <w:t>日</w:t>
            </w:r>
          </w:p>
        </w:tc>
      </w:tr>
      <w:tr w14:paraId="669E5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59AA4F93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0D7793B3"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自编教材</w:t>
            </w:r>
          </w:p>
        </w:tc>
      </w:tr>
    </w:tbl>
    <w:p w14:paraId="13BBF001"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 w14:paraId="4EA7DE29">
      <w:pPr>
        <w:pStyle w:val="2"/>
        <w:spacing w:before="156" w:beforeLines="50" w:after="156" w:afterLines="50"/>
        <w:ind w:firstLine="480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</w:p>
    <w:p w14:paraId="1C8D3401"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Ansi="宋体" w:cs="宋体"/>
        </w:rPr>
        <w:t>课程旨在</w:t>
      </w:r>
      <w:r>
        <w:rPr>
          <w:rFonts w:hint="eastAsia" w:hAnsi="宋体" w:cs="宋体"/>
        </w:rPr>
        <w:t>使</w:t>
      </w:r>
      <w:r>
        <w:rPr>
          <w:rFonts w:hAnsi="宋体" w:cs="宋体"/>
        </w:rPr>
        <w:t>学生</w:t>
      </w:r>
      <w:r>
        <w:rPr>
          <w:rFonts w:hint="eastAsia" w:hAnsi="宋体" w:cs="宋体"/>
        </w:rPr>
        <w:t>在掌握印度佛教产生背景及文献知识的基础上，带领学生阅读佛教哲学经典《俱舍论》。</w:t>
      </w:r>
      <w:r>
        <w:rPr>
          <w:rFonts w:hint="eastAsia"/>
        </w:rPr>
        <w:t>《俱舍论》是佛教阿毗达摩哲学中最重要的文献之一，思想性强，文章晦涩难懂，是佛教研究中的“硬核”领域。课程中会带领学生精读《俱舍论》，培养学生的古文阅读能力，使学生体会到汉译经典的魅力，并</w:t>
      </w:r>
      <w:r>
        <w:rPr>
          <w:rFonts w:hAnsi="宋体" w:cs="宋体"/>
        </w:rPr>
        <w:t>提升学生的理论思维能力</w:t>
      </w:r>
      <w:r>
        <w:rPr>
          <w:rFonts w:hint="eastAsia" w:hAnsi="宋体" w:cs="宋体"/>
        </w:rPr>
        <w:t>及表达写作</w:t>
      </w:r>
      <w:r>
        <w:rPr>
          <w:rFonts w:hAnsi="宋体" w:cs="宋体"/>
        </w:rPr>
        <w:t>能力。</w:t>
      </w:r>
    </w:p>
    <w:p w14:paraId="40262423">
      <w:pPr>
        <w:pStyle w:val="2"/>
        <w:spacing w:before="156" w:beforeLines="50" w:after="156" w:afterLines="50"/>
        <w:ind w:firstLine="480" w:firstLineChars="200"/>
        <w:rPr>
          <w:rFonts w:ascii="黑体" w:hAnsi="黑体" w:eastAsia="黑体" w:cs="宋体"/>
          <w:sz w:val="24"/>
          <w:szCs w:val="24"/>
        </w:rPr>
      </w:pPr>
    </w:p>
    <w:p w14:paraId="1BC49502"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</w:p>
    <w:p w14:paraId="2708A73A"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课程目标1：带领学生了解印度佛教产生的地理及时代背景</w:t>
      </w:r>
    </w:p>
    <w:p w14:paraId="3BD00FB1"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课程目标2：通过阅读《俱舍论》，鼓励学生发表自己的观点及理解，培养他们的古文阅读能力、理论思维能力及批判性思维。</w:t>
      </w:r>
    </w:p>
    <w:p w14:paraId="06B620CD"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</w:p>
    <w:p w14:paraId="41BA6B9A"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  <w:r>
        <w:rPr>
          <w:rFonts w:hint="eastAsia" w:hAnsi="宋体" w:cs="宋体"/>
        </w:rPr>
        <w:t>（小四号黑体）</w:t>
      </w:r>
    </w:p>
    <w:p w14:paraId="515780C2">
      <w:pPr>
        <w:pStyle w:val="2"/>
        <w:spacing w:before="156" w:beforeLines="50" w:after="156" w:afterLines="50"/>
        <w:ind w:firstLine="422" w:firstLineChars="200"/>
        <w:jc w:val="center"/>
        <w:rPr>
          <w:rFonts w:ascii="黑体" w:hAnsi="宋体"/>
          <w:b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 xml:space="preserve">表1：课程目标与课程内容、毕业要求的对应关系表 </w:t>
      </w:r>
      <w:r>
        <w:rPr>
          <w:rFonts w:hint="eastAsia" w:ascii="黑体" w:hAnsi="宋体"/>
          <w:bCs/>
          <w:szCs w:val="21"/>
        </w:rPr>
        <w:t>（五号宋体）</w:t>
      </w:r>
    </w:p>
    <w:tbl>
      <w:tblPr>
        <w:tblStyle w:val="6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959"/>
        <w:gridCol w:w="3118"/>
        <w:gridCol w:w="2688"/>
      </w:tblGrid>
      <w:tr w14:paraId="261CB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 w14:paraId="0C7EEDFB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34044F2E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2BE87904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642D024E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对应毕业要求</w:t>
            </w:r>
          </w:p>
        </w:tc>
      </w:tr>
      <w:tr w14:paraId="343E4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0" w:hRule="atLeast"/>
          <w:jc w:val="center"/>
        </w:trPr>
        <w:tc>
          <w:tcPr>
            <w:tcW w:w="1302" w:type="dxa"/>
            <w:vAlign w:val="center"/>
          </w:tcPr>
          <w:p w14:paraId="6E499946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63931D7C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无</w:t>
            </w:r>
          </w:p>
        </w:tc>
        <w:tc>
          <w:tcPr>
            <w:tcW w:w="3118" w:type="dxa"/>
            <w:vAlign w:val="center"/>
          </w:tcPr>
          <w:p w14:paraId="26A25DF0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第一章 印度佛教的产生及发展</w:t>
            </w:r>
          </w:p>
        </w:tc>
        <w:tc>
          <w:tcPr>
            <w:tcW w:w="2688" w:type="dxa"/>
            <w:vAlign w:val="center"/>
          </w:tcPr>
          <w:p w14:paraId="6B0A65E3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毕业要求3</w:t>
            </w:r>
            <w:r>
              <w:rPr>
                <w:rFonts w:hAnsi="宋体" w:cs="宋体"/>
              </w:rPr>
              <w:t>-2</w:t>
            </w:r>
            <w:r>
              <w:rPr>
                <w:rFonts w:hint="eastAsia" w:hAnsi="宋体" w:cs="宋体"/>
              </w:rPr>
              <w:t>，当代社会科学、人文科学、自然科学、思维科学的相关知识具有相当的把握，具有跨学科的宏大理论视野</w:t>
            </w:r>
          </w:p>
        </w:tc>
      </w:tr>
      <w:tr w14:paraId="05DBB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1302" w:type="dxa"/>
            <w:vAlign w:val="center"/>
          </w:tcPr>
          <w:p w14:paraId="38DB59F8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3B9B457A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无</w:t>
            </w:r>
          </w:p>
        </w:tc>
        <w:tc>
          <w:tcPr>
            <w:tcW w:w="3118" w:type="dxa"/>
            <w:vAlign w:val="center"/>
          </w:tcPr>
          <w:p w14:paraId="04E70D30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第二章 《俱舍论·界品》研读</w:t>
            </w:r>
          </w:p>
        </w:tc>
        <w:tc>
          <w:tcPr>
            <w:tcW w:w="2688" w:type="dxa"/>
            <w:vAlign w:val="center"/>
          </w:tcPr>
          <w:p w14:paraId="693E5262">
            <w:pPr>
              <w:pStyle w:val="2"/>
              <w:spacing w:before="156" w:beforeLines="50" w:after="156" w:afterLines="5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毕业要求</w:t>
            </w:r>
            <w:r>
              <w:rPr>
                <w:rFonts w:hAnsi="宋体" w:cs="宋体"/>
              </w:rPr>
              <w:t>2-1 树立正确的世界观、人生观和价值观，具有强烈的社会责任感和使命感</w:t>
            </w:r>
          </w:p>
          <w:p w14:paraId="70A1F3A5">
            <w:pPr>
              <w:pStyle w:val="2"/>
              <w:spacing w:before="156" w:beforeLines="50" w:after="156" w:afterLines="5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毕业要求5</w:t>
            </w:r>
            <w:r>
              <w:rPr>
                <w:rFonts w:hAnsi="宋体" w:cs="宋体"/>
              </w:rPr>
              <w:t>-2</w:t>
            </w:r>
            <w:r>
              <w:rPr>
                <w:rFonts w:hint="eastAsia" w:hAnsi="宋体" w:cs="宋体"/>
              </w:rPr>
              <w:t>，以</w:t>
            </w:r>
            <w:r>
              <w:rPr>
                <w:rFonts w:hAnsi="宋体" w:cs="宋体"/>
              </w:rPr>
              <w:t>哲学思维方式进行理论研究的能力</w:t>
            </w:r>
          </w:p>
          <w:p w14:paraId="152A36CA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毕业要求4</w:t>
            </w:r>
            <w:r>
              <w:rPr>
                <w:rFonts w:hAnsi="宋体" w:cs="宋体"/>
              </w:rPr>
              <w:t>-4</w:t>
            </w:r>
            <w:r>
              <w:rPr>
                <w:rFonts w:hint="eastAsia" w:hAnsi="宋体" w:cs="宋体"/>
              </w:rPr>
              <w:t>，具备较强的外语听说读写能力，并初步具备利用专业外语文献进行学术研究和创新的能力</w:t>
            </w:r>
          </w:p>
        </w:tc>
      </w:tr>
    </w:tbl>
    <w:p w14:paraId="01C71096">
      <w:pPr>
        <w:spacing w:before="156" w:beforeLines="50" w:after="156" w:afterLines="50" w:line="360" w:lineRule="auto"/>
        <w:ind w:firstLine="420" w:firstLineChars="200"/>
        <w:rPr>
          <w:rFonts w:ascii="宋体" w:hAnsi="宋体" w:eastAsia="宋体"/>
          <w:szCs w:val="21"/>
        </w:rPr>
      </w:pPr>
    </w:p>
    <w:p w14:paraId="27AC82C4"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  <w:r>
        <w:rPr>
          <w:rFonts w:hint="eastAsia" w:ascii="宋体" w:hAnsi="宋体" w:eastAsia="宋体"/>
          <w:szCs w:val="21"/>
        </w:rPr>
        <w:t>（四号黑体）</w:t>
      </w:r>
    </w:p>
    <w:p w14:paraId="686F70E1">
      <w:pPr>
        <w:spacing w:before="156" w:beforeLines="50" w:after="156" w:afterLines="5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（具体描述各章节教学目标、教学内容等。实验课程可按实验模块描述）</w:t>
      </w:r>
    </w:p>
    <w:p w14:paraId="08B6588B">
      <w:pPr>
        <w:widowControl/>
        <w:spacing w:before="156" w:beforeLines="50" w:after="156" w:afterLines="50"/>
        <w:ind w:firstLine="482" w:firstLineChars="200"/>
        <w:jc w:val="left"/>
      </w:pPr>
      <w:r>
        <w:rPr>
          <w:rFonts w:hint="eastAsia" w:ascii="黑体" w:hAnsi="黑体" w:eastAsia="黑体" w:cs="Times New Roman"/>
          <w:b/>
          <w:sz w:val="24"/>
          <w:szCs w:val="24"/>
        </w:rPr>
        <w:t>第一章 印度佛教的产生及发展</w:t>
      </w:r>
      <w:r>
        <w:rPr>
          <w:rFonts w:hint="eastAsia" w:ascii="宋体" w:hAnsi="宋体" w:cs="宋体"/>
          <w:b/>
          <w:color w:val="000000"/>
          <w:kern w:val="0"/>
          <w:sz w:val="20"/>
          <w:szCs w:val="20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（小四号黑体）</w:t>
      </w:r>
    </w:p>
    <w:p w14:paraId="651C1967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 （五号宋体）</w:t>
      </w:r>
    </w:p>
    <w:p w14:paraId="063865E1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使学生掌握印度佛教产生的地理、时代等背景等，并对佛教发展、佛教文献有全面认识。</w:t>
      </w:r>
    </w:p>
    <w:p w14:paraId="316941DB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2.</w:t>
      </w:r>
      <w:r>
        <w:rPr>
          <w:rFonts w:hint="eastAsia" w:ascii="宋体" w:hAnsi="宋体" w:eastAsia="宋体"/>
          <w:szCs w:val="21"/>
        </w:rPr>
        <w:t>教学重难点</w:t>
      </w:r>
    </w:p>
    <w:p w14:paraId="42DB3327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印度社会的介绍及阿毗达摩哲学体系的说明。</w:t>
      </w:r>
    </w:p>
    <w:p w14:paraId="05A34338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3.</w:t>
      </w:r>
      <w:r>
        <w:rPr>
          <w:rFonts w:hint="eastAsia" w:ascii="宋体" w:hAnsi="宋体" w:eastAsia="宋体"/>
          <w:szCs w:val="21"/>
        </w:rPr>
        <w:t>教学内容</w:t>
      </w:r>
    </w:p>
    <w:p w14:paraId="7EBD4CB4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介绍佛教成立背景、释迦牟尼生平、印度佛教分期及佛教的不同称谓等知识，着重介绍佛教三藏文献，及阿毗达摩论书在佛教文献中的地位。最后介绍《俱舍论》在阿毗达摩论书中所处的时期，及《俱舍论》全书的理论体系。</w:t>
      </w:r>
    </w:p>
    <w:p w14:paraId="01F0F771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4.</w:t>
      </w:r>
      <w:r>
        <w:rPr>
          <w:rFonts w:hint="eastAsia" w:ascii="宋体" w:hAnsi="宋体" w:eastAsia="宋体"/>
          <w:szCs w:val="21"/>
        </w:rPr>
        <w:t xml:space="preserve">教学方法 </w:t>
      </w:r>
    </w:p>
    <w:p w14:paraId="58E6C249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讲授法</w:t>
      </w:r>
    </w:p>
    <w:p w14:paraId="06B611D9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5.</w:t>
      </w:r>
      <w:r>
        <w:rPr>
          <w:rFonts w:hint="eastAsia" w:ascii="宋体" w:hAnsi="宋体" w:eastAsia="宋体"/>
          <w:szCs w:val="21"/>
        </w:rPr>
        <w:t>教学评价</w:t>
      </w:r>
    </w:p>
    <w:p w14:paraId="306C41F4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结合图片、考古文物等资料讲解，并绘制《俱舍论》的哲学体系图。</w:t>
      </w:r>
    </w:p>
    <w:p w14:paraId="5D0085A8"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第二章 《俱舍论·界品》精读 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（小四号黑体）</w:t>
      </w:r>
    </w:p>
    <w:p w14:paraId="766D35FD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 （五号宋体）</w:t>
      </w:r>
    </w:p>
    <w:p w14:paraId="1C36AD59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带领学生精读《俱舍论·界品》原文，并启发学生独立思考及与西方哲学特别是古希腊哲学的比较。</w:t>
      </w:r>
    </w:p>
    <w:p w14:paraId="4A2A3E7A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0E94FAC2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《俱舍论》哲学体系的说明。</w:t>
      </w:r>
    </w:p>
    <w:p w14:paraId="183FF5FC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6F0E9D11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根据《俱舍论·界品》的内容，逐句讲解如阿毗达摩为何意？什么是有漏无漏？什么是有为无为？有为法与五蕴等内容，并梳理这些理论概念之间的关系。</w:t>
      </w:r>
    </w:p>
    <w:p w14:paraId="3A990909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 w14:paraId="2F10CF18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讲采取学生发表+老师讲解+学生讨论的形式，带领学生逐字逐句分析《俱舍论》的内容，同时引导学生对比中西哲学，开阔学生的研究视野。</w:t>
      </w:r>
    </w:p>
    <w:p w14:paraId="3BBB3051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 w14:paraId="7258F5A7">
      <w:pPr>
        <w:widowControl/>
        <w:spacing w:before="156" w:beforeLines="50" w:after="156" w:afterLines="50"/>
        <w:ind w:firstLine="420" w:firstLineChars="200"/>
        <w:jc w:val="left"/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要求每位学生发表并课堂讨论</w:t>
      </w:r>
      <w:r>
        <w:rPr>
          <w:rFonts w:hint="eastAsia"/>
        </w:rPr>
        <w:t>。</w:t>
      </w:r>
    </w:p>
    <w:p w14:paraId="2888F0B3"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  <w:r>
        <w:rPr>
          <w:rFonts w:hint="eastAsia" w:ascii="宋体" w:hAnsi="宋体" w:eastAsia="宋体"/>
          <w:szCs w:val="21"/>
        </w:rPr>
        <w:t>（四号黑体）</w:t>
      </w:r>
    </w:p>
    <w:p w14:paraId="17E89A33">
      <w:pPr>
        <w:widowControl/>
        <w:spacing w:before="156" w:beforeLines="50" w:after="156" w:afterLines="50"/>
        <w:jc w:val="center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  <w:szCs w:val="21"/>
        </w:rPr>
        <w:t>表2：各章节的具体内容和学时分配表</w:t>
      </w:r>
      <w:r>
        <w:rPr>
          <w:rFonts w:hint="eastAsia" w:ascii="宋体" w:hAnsi="宋体" w:eastAsia="宋体"/>
          <w:szCs w:val="21"/>
        </w:rPr>
        <w:t>（五号宋体）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 w14:paraId="201E7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49F478C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</w:t>
            </w:r>
          </w:p>
        </w:tc>
        <w:tc>
          <w:tcPr>
            <w:tcW w:w="2765" w:type="dxa"/>
            <w:vAlign w:val="center"/>
          </w:tcPr>
          <w:p w14:paraId="553869A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70537D6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学时分配</w:t>
            </w:r>
          </w:p>
        </w:tc>
      </w:tr>
      <w:tr w14:paraId="12D8B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105D3C5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第一章</w:t>
            </w:r>
          </w:p>
        </w:tc>
        <w:tc>
          <w:tcPr>
            <w:tcW w:w="2765" w:type="dxa"/>
            <w:vAlign w:val="center"/>
          </w:tcPr>
          <w:p w14:paraId="7CFB8BD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</w:rPr>
              <w:t>印度佛教的产生及发展</w:t>
            </w:r>
          </w:p>
        </w:tc>
        <w:tc>
          <w:tcPr>
            <w:tcW w:w="2766" w:type="dxa"/>
            <w:vAlign w:val="center"/>
          </w:tcPr>
          <w:p w14:paraId="3D21D32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</w:p>
        </w:tc>
      </w:tr>
      <w:tr w14:paraId="55320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2E3B3C4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第二章</w:t>
            </w:r>
          </w:p>
        </w:tc>
        <w:tc>
          <w:tcPr>
            <w:tcW w:w="2765" w:type="dxa"/>
            <w:vAlign w:val="center"/>
          </w:tcPr>
          <w:p w14:paraId="488EB77E">
            <w:pPr>
              <w:adjustRightInd w:val="0"/>
              <w:snapToGrid w:val="0"/>
              <w:ind w:firstLine="105" w:firstLineChars="50"/>
              <w:rPr>
                <w:rFonts w:ascii="宋体" w:hAnsi="宋体" w:eastAsia="宋体" w:cs="宋体"/>
              </w:rPr>
            </w:pPr>
            <w:bookmarkStart w:id="0" w:name="OLE_LINK1"/>
            <w:bookmarkStart w:id="1" w:name="OLE_LINK2"/>
            <w:r>
              <w:rPr>
                <w:rFonts w:hint="eastAsia" w:ascii="宋体" w:hAnsi="宋体" w:eastAsia="宋体" w:cs="宋体"/>
              </w:rPr>
              <w:t>《俱舍论·界品》精读</w:t>
            </w:r>
            <w:bookmarkEnd w:id="0"/>
            <w:bookmarkEnd w:id="1"/>
          </w:p>
        </w:tc>
        <w:tc>
          <w:tcPr>
            <w:tcW w:w="2766" w:type="dxa"/>
            <w:vAlign w:val="center"/>
          </w:tcPr>
          <w:p w14:paraId="620DC56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8</w:t>
            </w:r>
          </w:p>
        </w:tc>
      </w:tr>
      <w:tr w14:paraId="7D378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4F54B80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第三章</w:t>
            </w:r>
          </w:p>
        </w:tc>
        <w:tc>
          <w:tcPr>
            <w:tcW w:w="2765" w:type="dxa"/>
            <w:vAlign w:val="center"/>
          </w:tcPr>
          <w:p w14:paraId="5F70B7D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期中考试（随堂开卷）</w:t>
            </w:r>
          </w:p>
        </w:tc>
        <w:tc>
          <w:tcPr>
            <w:tcW w:w="2766" w:type="dxa"/>
            <w:vAlign w:val="center"/>
          </w:tcPr>
          <w:p w14:paraId="434882A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</w:p>
        </w:tc>
      </w:tr>
      <w:tr w14:paraId="2F033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5E16244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第四章</w:t>
            </w:r>
          </w:p>
        </w:tc>
        <w:tc>
          <w:tcPr>
            <w:tcW w:w="2765" w:type="dxa"/>
            <w:vAlign w:val="center"/>
          </w:tcPr>
          <w:p w14:paraId="3C7EC4A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</w:rPr>
              <w:t>《俱舍论·界品》精读</w:t>
            </w:r>
          </w:p>
        </w:tc>
        <w:tc>
          <w:tcPr>
            <w:tcW w:w="2766" w:type="dxa"/>
            <w:vAlign w:val="center"/>
          </w:tcPr>
          <w:p w14:paraId="3C353AE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4</w:t>
            </w:r>
          </w:p>
        </w:tc>
      </w:tr>
      <w:tr w14:paraId="57F70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217971E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第五章</w:t>
            </w:r>
          </w:p>
        </w:tc>
        <w:tc>
          <w:tcPr>
            <w:tcW w:w="2765" w:type="dxa"/>
            <w:vAlign w:val="center"/>
          </w:tcPr>
          <w:p w14:paraId="3DE9BB4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期末考试（随堂开卷）</w:t>
            </w:r>
          </w:p>
        </w:tc>
        <w:tc>
          <w:tcPr>
            <w:tcW w:w="2766" w:type="dxa"/>
            <w:vAlign w:val="center"/>
          </w:tcPr>
          <w:p w14:paraId="5A6BED4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</w:p>
        </w:tc>
      </w:tr>
    </w:tbl>
    <w:p w14:paraId="2415539B"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  <w:r>
        <w:rPr>
          <w:rFonts w:hint="eastAsia" w:ascii="宋体" w:hAnsi="宋体" w:eastAsia="宋体"/>
        </w:rPr>
        <w:t>（四号黑体）</w:t>
      </w:r>
    </w:p>
    <w:p w14:paraId="297FC201"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表3：教学进度表</w:t>
      </w:r>
      <w:r>
        <w:rPr>
          <w:rFonts w:hint="eastAsia" w:ascii="宋体" w:hAnsi="宋体" w:eastAsia="宋体"/>
          <w:szCs w:val="21"/>
        </w:rPr>
        <w:t>（五号宋体）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2"/>
        <w:gridCol w:w="1145"/>
        <w:gridCol w:w="1145"/>
        <w:gridCol w:w="1145"/>
        <w:gridCol w:w="1386"/>
        <w:gridCol w:w="904"/>
      </w:tblGrid>
      <w:tr w14:paraId="349C7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1FAA16CC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周次</w:t>
            </w:r>
          </w:p>
        </w:tc>
        <w:tc>
          <w:tcPr>
            <w:tcW w:w="1145" w:type="dxa"/>
            <w:vAlign w:val="center"/>
          </w:tcPr>
          <w:p w14:paraId="5C576BD7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42D45A4C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26B90B62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54201677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4BDEB830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备注</w:t>
            </w:r>
          </w:p>
        </w:tc>
      </w:tr>
      <w:tr w14:paraId="4382D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03D0B27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  <w:tc>
          <w:tcPr>
            <w:tcW w:w="1145" w:type="dxa"/>
            <w:vAlign w:val="center"/>
          </w:tcPr>
          <w:p w14:paraId="745DE48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hAnsi="宋体" w:cs="宋体"/>
              </w:rPr>
              <w:t>印度佛教的产生及发展</w:t>
            </w:r>
          </w:p>
        </w:tc>
        <w:tc>
          <w:tcPr>
            <w:tcW w:w="1145" w:type="dxa"/>
            <w:vAlign w:val="center"/>
          </w:tcPr>
          <w:p w14:paraId="1DDFBAF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印度佛教产生背景介绍</w:t>
            </w:r>
          </w:p>
        </w:tc>
        <w:tc>
          <w:tcPr>
            <w:tcW w:w="1145" w:type="dxa"/>
            <w:vAlign w:val="center"/>
          </w:tcPr>
          <w:p w14:paraId="5DDFE4D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3836AC3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结合课堂内容，找出一个兴趣点，调查资料并在课堂上发表</w:t>
            </w:r>
          </w:p>
        </w:tc>
        <w:tc>
          <w:tcPr>
            <w:tcW w:w="904" w:type="dxa"/>
            <w:vAlign w:val="center"/>
          </w:tcPr>
          <w:p w14:paraId="4C25AA8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2479A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7DC310E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</w:t>
            </w:r>
            <w:r>
              <w:rPr>
                <w:rFonts w:ascii="宋体" w:hAnsi="宋体" w:eastAsia="宋体"/>
                <w:szCs w:val="21"/>
              </w:rPr>
              <w:t>-7</w:t>
            </w:r>
          </w:p>
        </w:tc>
        <w:tc>
          <w:tcPr>
            <w:tcW w:w="1145" w:type="dxa"/>
            <w:vAlign w:val="center"/>
          </w:tcPr>
          <w:p w14:paraId="0FA01A6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《俱舍论·界品》精读</w:t>
            </w:r>
          </w:p>
        </w:tc>
        <w:tc>
          <w:tcPr>
            <w:tcW w:w="1145" w:type="dxa"/>
            <w:vAlign w:val="center"/>
          </w:tcPr>
          <w:p w14:paraId="1E7249F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阅读界品内容并阐述经典内容及自己的理解</w:t>
            </w:r>
          </w:p>
        </w:tc>
        <w:tc>
          <w:tcPr>
            <w:tcW w:w="1145" w:type="dxa"/>
            <w:vAlign w:val="center"/>
          </w:tcPr>
          <w:p w14:paraId="1F8AC8B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18</w:t>
            </w:r>
          </w:p>
        </w:tc>
        <w:tc>
          <w:tcPr>
            <w:tcW w:w="1386" w:type="dxa"/>
            <w:vAlign w:val="center"/>
          </w:tcPr>
          <w:p w14:paraId="6AE4856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梳理课堂中出现的名词概念，准备课题的发表</w:t>
            </w:r>
          </w:p>
        </w:tc>
        <w:tc>
          <w:tcPr>
            <w:tcW w:w="904" w:type="dxa"/>
            <w:vAlign w:val="center"/>
          </w:tcPr>
          <w:p w14:paraId="6D9CEA3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968F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2345F1C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8</w:t>
            </w:r>
          </w:p>
        </w:tc>
        <w:tc>
          <w:tcPr>
            <w:tcW w:w="1145" w:type="dxa"/>
            <w:vAlign w:val="center"/>
          </w:tcPr>
          <w:p w14:paraId="65F003B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期中考试</w:t>
            </w:r>
            <w:r>
              <w:rPr>
                <w:rFonts w:hint="eastAsia" w:ascii="宋体" w:hAnsi="宋体" w:eastAsia="宋体"/>
              </w:rPr>
              <w:t>（随堂开卷）</w:t>
            </w:r>
          </w:p>
        </w:tc>
        <w:tc>
          <w:tcPr>
            <w:tcW w:w="1145" w:type="dxa"/>
            <w:vAlign w:val="center"/>
          </w:tcPr>
          <w:p w14:paraId="1B16916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学生根据课堂内容，查找资料，随堂考试</w:t>
            </w:r>
          </w:p>
        </w:tc>
        <w:tc>
          <w:tcPr>
            <w:tcW w:w="1145" w:type="dxa"/>
            <w:vAlign w:val="center"/>
          </w:tcPr>
          <w:p w14:paraId="3BAF1E2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78D681B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5F76706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04800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77C1E80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9-16</w:t>
            </w:r>
          </w:p>
        </w:tc>
        <w:tc>
          <w:tcPr>
            <w:tcW w:w="1145" w:type="dxa"/>
            <w:vAlign w:val="center"/>
          </w:tcPr>
          <w:p w14:paraId="6C0EB91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《俱舍论·界品》精读</w:t>
            </w:r>
          </w:p>
        </w:tc>
        <w:tc>
          <w:tcPr>
            <w:tcW w:w="1145" w:type="dxa"/>
            <w:vAlign w:val="center"/>
          </w:tcPr>
          <w:p w14:paraId="5D3B699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阅读界品内容并阐述经典内容及自己的理解</w:t>
            </w:r>
          </w:p>
        </w:tc>
        <w:tc>
          <w:tcPr>
            <w:tcW w:w="1145" w:type="dxa"/>
            <w:vAlign w:val="center"/>
          </w:tcPr>
          <w:p w14:paraId="00B3B40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24</w:t>
            </w:r>
          </w:p>
        </w:tc>
        <w:tc>
          <w:tcPr>
            <w:tcW w:w="1386" w:type="dxa"/>
            <w:vAlign w:val="center"/>
          </w:tcPr>
          <w:p w14:paraId="17C0ADE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梳理课堂中出现的名词概念，准备课题的发表</w:t>
            </w:r>
          </w:p>
        </w:tc>
        <w:tc>
          <w:tcPr>
            <w:tcW w:w="904" w:type="dxa"/>
            <w:vAlign w:val="center"/>
          </w:tcPr>
          <w:p w14:paraId="6AB2433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66CC3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4E99408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7</w:t>
            </w:r>
          </w:p>
        </w:tc>
        <w:tc>
          <w:tcPr>
            <w:tcW w:w="1145" w:type="dxa"/>
            <w:vAlign w:val="center"/>
          </w:tcPr>
          <w:p w14:paraId="4049393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期末考试</w:t>
            </w:r>
            <w:r>
              <w:rPr>
                <w:rFonts w:hint="eastAsia" w:ascii="宋体" w:hAnsi="宋体" w:eastAsia="宋体"/>
              </w:rPr>
              <w:t>（随堂开卷）</w:t>
            </w:r>
          </w:p>
        </w:tc>
        <w:tc>
          <w:tcPr>
            <w:tcW w:w="1145" w:type="dxa"/>
            <w:vAlign w:val="center"/>
          </w:tcPr>
          <w:p w14:paraId="7739DAF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学生根据课堂内容，查找资料，随堂考试</w:t>
            </w:r>
          </w:p>
        </w:tc>
        <w:tc>
          <w:tcPr>
            <w:tcW w:w="1145" w:type="dxa"/>
            <w:vAlign w:val="center"/>
          </w:tcPr>
          <w:p w14:paraId="767C189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0E763D7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6587176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</w:tbl>
    <w:p w14:paraId="5D8E25AD"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  <w:r>
        <w:rPr>
          <w:rFonts w:hint="eastAsia" w:ascii="宋体" w:hAnsi="宋体" w:eastAsia="宋体"/>
        </w:rPr>
        <w:t>（四号黑体）</w:t>
      </w:r>
    </w:p>
    <w:p w14:paraId="1B27B7BE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（电子学术资源、纸质学术资源等，按规范方式列举）（五号宋体）</w:t>
      </w:r>
    </w:p>
    <w:p w14:paraId="01ABE193">
      <w:pPr>
        <w:adjustRightInd w:val="0"/>
        <w:snapToGrid w:val="0"/>
        <w:spacing w:line="240" w:lineRule="atLeast"/>
        <w:ind w:firstLine="424" w:firstLineChars="202"/>
        <w:rPr>
          <w:rFonts w:ascii="宋体" w:hAnsi="宋体" w:eastAsia="宋体"/>
        </w:rPr>
      </w:pPr>
      <w:r>
        <w:rPr>
          <w:rFonts w:ascii="宋体" w:hAnsi="宋体" w:eastAsia="宋体"/>
        </w:rPr>
        <w:t>1</w:t>
      </w:r>
      <w:r>
        <w:rPr>
          <w:rFonts w:hint="eastAsia" w:ascii="宋体" w:hAnsi="宋体" w:eastAsia="宋体"/>
        </w:rPr>
        <w:t>．世亲著、玄奘译，《</w:t>
      </w:r>
      <w:r>
        <w:rPr>
          <w:rFonts w:ascii="宋体" w:hAnsi="宋体" w:eastAsia="宋体"/>
        </w:rPr>
        <w:t>阿毗达磨</w:t>
      </w:r>
      <w:r>
        <w:rPr>
          <w:rFonts w:hint="eastAsia" w:ascii="宋体" w:hAnsi="宋体" w:eastAsia="宋体"/>
        </w:rPr>
        <w:t>俱舍论》，大正藏第2</w:t>
      </w:r>
      <w:r>
        <w:rPr>
          <w:rFonts w:ascii="宋体" w:hAnsi="宋体" w:eastAsia="宋体"/>
        </w:rPr>
        <w:t>9</w:t>
      </w:r>
      <w:r>
        <w:rPr>
          <w:rFonts w:hint="eastAsia" w:ascii="宋体" w:hAnsi="宋体" w:eastAsia="宋体"/>
        </w:rPr>
        <w:t>册。</w:t>
      </w:r>
    </w:p>
    <w:p w14:paraId="448CF5F7">
      <w:pPr>
        <w:adjustRightInd w:val="0"/>
        <w:snapToGrid w:val="0"/>
        <w:spacing w:line="240" w:lineRule="atLeast"/>
        <w:ind w:firstLine="424" w:firstLineChars="202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2．</w:t>
      </w:r>
      <w:r>
        <w:rPr>
          <w:rFonts w:ascii="宋体" w:hAnsi="宋体" w:eastAsia="宋体"/>
        </w:rPr>
        <w:t>[印] 世亲菩萨</w:t>
      </w:r>
      <w:r>
        <w:rPr>
          <w:rFonts w:hint="eastAsia" w:ascii="宋体" w:hAnsi="宋体" w:eastAsia="宋体"/>
        </w:rPr>
        <w:t>著、</w:t>
      </w:r>
      <w:r>
        <w:rPr>
          <w:rFonts w:ascii="宋体" w:hAnsi="宋体" w:eastAsia="宋体"/>
        </w:rPr>
        <w:t>[唐] 圆晖法师</w:t>
      </w:r>
      <w:r>
        <w:rPr>
          <w:rFonts w:hint="eastAsia" w:ascii="宋体" w:hAnsi="宋体" w:eastAsia="宋体"/>
        </w:rPr>
        <w:t>疏、</w:t>
      </w:r>
      <w:r>
        <w:rPr>
          <w:rFonts w:ascii="宋体" w:hAnsi="宋体" w:eastAsia="宋体"/>
        </w:rPr>
        <w:t>智敏上师</w:t>
      </w:r>
      <w:r>
        <w:rPr>
          <w:rFonts w:hint="eastAsia" w:ascii="宋体" w:hAnsi="宋体" w:eastAsia="宋体"/>
        </w:rPr>
        <w:t>讲，《</w:t>
      </w:r>
      <w:r>
        <w:rPr>
          <w:rFonts w:ascii="宋体" w:hAnsi="宋体" w:eastAsia="宋体"/>
        </w:rPr>
        <w:t>俱舍论颂疏讲记</w:t>
      </w:r>
      <w:r>
        <w:rPr>
          <w:rFonts w:hint="eastAsia" w:ascii="宋体" w:hAnsi="宋体" w:eastAsia="宋体"/>
        </w:rPr>
        <w:t>》，上海：</w:t>
      </w:r>
      <w:r>
        <w:rPr>
          <w:rFonts w:ascii="宋体" w:hAnsi="宋体" w:eastAsia="宋体"/>
        </w:rPr>
        <w:t>上海古籍出版社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2016.</w:t>
      </w:r>
    </w:p>
    <w:p w14:paraId="2175A050">
      <w:pPr>
        <w:adjustRightInd w:val="0"/>
        <w:snapToGrid w:val="0"/>
        <w:spacing w:line="240" w:lineRule="atLeast"/>
        <w:ind w:firstLine="424" w:firstLineChars="202"/>
        <w:rPr>
          <w:rFonts w:ascii="宋体" w:hAnsi="宋体" w:eastAsia="宋体"/>
          <w:lang w:eastAsia="ja-JP"/>
        </w:rPr>
      </w:pPr>
      <w:r>
        <w:rPr>
          <w:rFonts w:ascii="宋体" w:hAnsi="宋体" w:eastAsia="宋体"/>
          <w:lang w:eastAsia="ja-JP"/>
        </w:rPr>
        <w:t>3.</w:t>
      </w:r>
      <w:r>
        <w:rPr>
          <w:rFonts w:hint="eastAsia" w:ascii="宋体" w:hAnsi="宋体" w:eastAsia="宋体"/>
          <w:lang w:eastAsia="ja-JP"/>
        </w:rPr>
        <w:t>《</w:t>
      </w:r>
      <w:r>
        <w:rPr>
          <w:rFonts w:ascii="宋体" w:hAnsi="宋体" w:eastAsia="宋体"/>
          <w:lang w:eastAsia="ja-JP"/>
        </w:rPr>
        <w:t>倶舎論の研究</w:t>
      </w:r>
      <w:r>
        <w:rPr>
          <w:rFonts w:hint="eastAsia" w:ascii="宋体" w:hAnsi="宋体" w:eastAsia="宋体"/>
          <w:lang w:eastAsia="ja-JP"/>
        </w:rPr>
        <w:t>：</w:t>
      </w:r>
      <w:r>
        <w:rPr>
          <w:rFonts w:ascii="宋体" w:hAnsi="宋体" w:eastAsia="宋体"/>
          <w:lang w:eastAsia="ja-JP"/>
        </w:rPr>
        <w:t>界</w:t>
      </w:r>
      <w:r>
        <w:rPr>
          <w:rFonts w:hint="eastAsia" w:ascii="微软雅黑" w:hAnsi="微软雅黑" w:eastAsia="微软雅黑" w:cs="微软雅黑"/>
          <w:lang w:eastAsia="ja-JP"/>
        </w:rPr>
        <w:t>・</w:t>
      </w:r>
      <w:r>
        <w:rPr>
          <w:rFonts w:hint="eastAsia" w:ascii="宋体" w:hAnsi="宋体" w:eastAsia="宋体"/>
          <w:lang w:eastAsia="ja-JP"/>
        </w:rPr>
        <w:t>根品》，[日</w:t>
      </w:r>
      <w:r>
        <w:rPr>
          <w:rFonts w:ascii="宋体" w:hAnsi="宋体" w:eastAsia="宋体"/>
          <w:lang w:eastAsia="ja-JP"/>
        </w:rPr>
        <w:t>] 櫻部健</w:t>
      </w:r>
      <w:r>
        <w:rPr>
          <w:rFonts w:hint="eastAsia" w:ascii="宋体" w:hAnsi="宋体" w:eastAsia="宋体"/>
          <w:lang w:eastAsia="ja-JP"/>
        </w:rPr>
        <w:t>，京都：法藏馆，1</w:t>
      </w:r>
      <w:r>
        <w:rPr>
          <w:rFonts w:ascii="宋体" w:hAnsi="宋体" w:eastAsia="宋体"/>
          <w:lang w:eastAsia="ja-JP"/>
        </w:rPr>
        <w:t>969.</w:t>
      </w:r>
    </w:p>
    <w:p w14:paraId="7D7A0ABA">
      <w:pPr>
        <w:widowControl/>
        <w:spacing w:before="156" w:beforeLines="50" w:after="156" w:afterLines="50"/>
        <w:jc w:val="left"/>
        <w:rPr>
          <w:rFonts w:ascii="宋体" w:hAnsi="宋体" w:eastAsia="宋体"/>
          <w:lang w:eastAsia="ja-JP"/>
        </w:rPr>
      </w:pPr>
      <w:r>
        <w:rPr>
          <w:rFonts w:hint="eastAsia" w:ascii="宋体" w:hAnsi="宋体" w:eastAsia="宋体"/>
          <w:lang w:eastAsia="ja-JP"/>
        </w:rPr>
        <w:t xml:space="preserve"> </w:t>
      </w:r>
      <w:r>
        <w:rPr>
          <w:rFonts w:ascii="宋体" w:hAnsi="宋体" w:eastAsia="宋体"/>
          <w:lang w:eastAsia="ja-JP"/>
        </w:rPr>
        <w:t xml:space="preserve">   </w:t>
      </w:r>
    </w:p>
    <w:p w14:paraId="5226B7E8">
      <w:pPr>
        <w:widowControl/>
        <w:spacing w:before="156" w:beforeLines="50" w:after="156" w:afterLines="50"/>
        <w:ind w:firstLine="562" w:firstLineChars="20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七、教学方法 </w:t>
      </w:r>
      <w:r>
        <w:rPr>
          <w:rFonts w:hint="eastAsia" w:ascii="宋体" w:hAnsi="宋体" w:eastAsia="宋体"/>
        </w:rPr>
        <w:t>（四号黑体）</w:t>
      </w:r>
    </w:p>
    <w:p w14:paraId="1480DE7B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（讲授法、讨论法、案例教学法等，按规范方式列举，并进行简要说明）（五号宋体）</w:t>
      </w:r>
    </w:p>
    <w:p w14:paraId="7E62D075">
      <w:pPr>
        <w:widowControl/>
        <w:spacing w:before="156" w:beforeLines="50" w:after="156" w:afterLines="50"/>
        <w:ind w:left="424" w:leftChars="202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1. 讲授法：围绕</w:t>
      </w:r>
      <w:r>
        <w:rPr>
          <w:rFonts w:hint="eastAsia" w:ascii="宋体" w:hAnsi="宋体" w:eastAsia="宋体"/>
        </w:rPr>
        <w:t>《俱舍论·界品》</w:t>
      </w:r>
      <w:r>
        <w:rPr>
          <w:rFonts w:ascii="宋体" w:hAnsi="宋体" w:eastAsia="宋体"/>
        </w:rPr>
        <w:t>的</w:t>
      </w:r>
      <w:r>
        <w:rPr>
          <w:rFonts w:hint="eastAsia" w:ascii="宋体" w:hAnsi="宋体" w:eastAsia="宋体"/>
        </w:rPr>
        <w:t>原文讲解</w:t>
      </w:r>
      <w:r>
        <w:rPr>
          <w:rFonts w:ascii="宋体" w:hAnsi="宋体" w:eastAsia="宋体"/>
        </w:rPr>
        <w:t xml:space="preserve"> “</w:t>
      </w:r>
      <w:r>
        <w:rPr>
          <w:rFonts w:hint="eastAsia" w:ascii="宋体" w:hAnsi="宋体" w:eastAsia="宋体"/>
        </w:rPr>
        <w:t>无漏有漏</w:t>
      </w:r>
      <w:r>
        <w:rPr>
          <w:rFonts w:ascii="宋体" w:hAnsi="宋体" w:eastAsia="宋体"/>
        </w:rPr>
        <w:t>”“</w:t>
      </w:r>
      <w:r>
        <w:rPr>
          <w:rFonts w:hint="eastAsia" w:ascii="宋体" w:hAnsi="宋体" w:eastAsia="宋体"/>
        </w:rPr>
        <w:t>有为无为</w:t>
      </w:r>
      <w:r>
        <w:rPr>
          <w:rFonts w:ascii="宋体" w:hAnsi="宋体" w:eastAsia="宋体"/>
        </w:rPr>
        <w:t>”“</w:t>
      </w:r>
      <w:r>
        <w:rPr>
          <w:rFonts w:hint="eastAsia" w:ascii="宋体" w:hAnsi="宋体" w:eastAsia="宋体"/>
        </w:rPr>
        <w:t>五蕴</w:t>
      </w:r>
      <w:r>
        <w:rPr>
          <w:rFonts w:ascii="宋体" w:hAnsi="宋体" w:eastAsia="宋体"/>
        </w:rPr>
        <w:t>”“</w:t>
      </w:r>
      <w:r>
        <w:rPr>
          <w:rFonts w:hint="eastAsia" w:ascii="宋体" w:hAnsi="宋体" w:eastAsia="宋体"/>
        </w:rPr>
        <w:t>十八界十二处</w:t>
      </w:r>
      <w:r>
        <w:rPr>
          <w:rFonts w:ascii="宋体" w:hAnsi="宋体" w:eastAsia="宋体"/>
        </w:rPr>
        <w:t xml:space="preserve">”等核心概念进行讲解。 </w:t>
      </w:r>
    </w:p>
    <w:p w14:paraId="1B33F15D">
      <w:pPr>
        <w:widowControl/>
        <w:spacing w:before="156" w:beforeLines="50" w:after="156" w:afterLines="50"/>
        <w:ind w:left="424" w:leftChars="202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2. 案例教学</w:t>
      </w:r>
      <w:r>
        <w:rPr>
          <w:rFonts w:hint="eastAsia" w:ascii="宋体" w:hAnsi="宋体" w:eastAsia="宋体"/>
        </w:rPr>
        <w:t>及</w:t>
      </w:r>
      <w:r>
        <w:rPr>
          <w:rFonts w:ascii="宋体" w:hAnsi="宋体" w:eastAsia="宋体"/>
        </w:rPr>
        <w:t>讨论法：围绕</w:t>
      </w:r>
      <w:r>
        <w:rPr>
          <w:rFonts w:hint="eastAsia" w:ascii="宋体" w:hAnsi="宋体" w:eastAsia="宋体"/>
        </w:rPr>
        <w:t>《俱舍论》中出现的辩论引导学生进行讨论，如“极微是否为物质</w:t>
      </w:r>
      <w:r>
        <w:rPr>
          <w:rFonts w:ascii="宋体" w:hAnsi="宋体" w:eastAsia="宋体"/>
        </w:rPr>
        <w:t>” “</w:t>
      </w:r>
      <w:r>
        <w:rPr>
          <w:rFonts w:hint="eastAsia" w:ascii="宋体" w:hAnsi="宋体" w:eastAsia="宋体"/>
        </w:rPr>
        <w:t>五蕴之蕴为何意</w:t>
      </w:r>
      <w:r>
        <w:rPr>
          <w:rFonts w:ascii="宋体" w:hAnsi="宋体" w:eastAsia="宋体"/>
        </w:rPr>
        <w:t>”“</w:t>
      </w:r>
      <w:r>
        <w:rPr>
          <w:rFonts w:hint="eastAsia" w:ascii="宋体" w:hAnsi="宋体" w:eastAsia="宋体"/>
        </w:rPr>
        <w:t>于因立果名究竟是怎样的逻辑关系”</w:t>
      </w:r>
      <w:r>
        <w:rPr>
          <w:rFonts w:ascii="宋体" w:hAnsi="宋体" w:eastAsia="宋体"/>
        </w:rPr>
        <w:t>等。</w:t>
      </w:r>
    </w:p>
    <w:p w14:paraId="2B15E0E2">
      <w:pPr>
        <w:widowControl/>
        <w:spacing w:before="156" w:beforeLines="50" w:after="156" w:afterLines="50"/>
        <w:jc w:val="left"/>
        <w:rPr>
          <w:rFonts w:ascii="宋体" w:hAnsi="宋体" w:eastAsia="宋体"/>
        </w:rPr>
      </w:pPr>
    </w:p>
    <w:p w14:paraId="2556EEDA">
      <w:pPr>
        <w:widowControl/>
        <w:spacing w:before="156" w:beforeLines="50" w:after="156" w:afterLines="5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  </w:t>
      </w:r>
      <w:r>
        <w:rPr>
          <w:rFonts w:hint="eastAsia" w:ascii="黑体" w:hAnsi="黑体" w:eastAsia="黑体"/>
          <w:b/>
          <w:sz w:val="28"/>
          <w:szCs w:val="28"/>
        </w:rPr>
        <w:t>八、考核方式及评定方法</w:t>
      </w:r>
      <w:r>
        <w:rPr>
          <w:rFonts w:hint="eastAsia" w:ascii="宋体" w:hAnsi="宋体" w:eastAsia="宋体"/>
        </w:rPr>
        <w:t>（四号黑体）</w:t>
      </w:r>
    </w:p>
    <w:p w14:paraId="2F17E7D7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（一）课程考核与课程目标的对应关系 </w:t>
      </w:r>
      <w:r>
        <w:rPr>
          <w:rFonts w:hint="eastAsia" w:ascii="宋体" w:hAnsi="宋体" w:eastAsia="宋体"/>
          <w:szCs w:val="21"/>
        </w:rPr>
        <w:t>（小四号黑体）</w:t>
      </w:r>
    </w:p>
    <w:p w14:paraId="33DBA49A"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  <w:r>
        <w:rPr>
          <w:rFonts w:hint="eastAsia" w:ascii="宋体" w:hAnsi="宋体" w:eastAsia="宋体"/>
          <w:szCs w:val="21"/>
        </w:rPr>
        <w:t>（五号宋体）</w:t>
      </w:r>
    </w:p>
    <w:tbl>
      <w:tblPr>
        <w:tblStyle w:val="6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 w14:paraId="3128D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76641ADD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4544CAB7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7663EDE0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 w14:paraId="75523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3CDE73D5"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75AB442C"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对印度佛教的产生背景的掌握程度</w:t>
            </w:r>
          </w:p>
        </w:tc>
        <w:tc>
          <w:tcPr>
            <w:tcW w:w="2849" w:type="dxa"/>
            <w:vAlign w:val="center"/>
          </w:tcPr>
          <w:p w14:paraId="373D7161"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课堂报告</w:t>
            </w:r>
          </w:p>
        </w:tc>
      </w:tr>
      <w:tr w14:paraId="5271B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6141C6A6"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42AA4D41"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对《俱舍论》原文的掌握程度</w:t>
            </w:r>
          </w:p>
        </w:tc>
        <w:tc>
          <w:tcPr>
            <w:tcW w:w="2849" w:type="dxa"/>
            <w:vAlign w:val="center"/>
          </w:tcPr>
          <w:p w14:paraId="12341F84"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课堂报告及随堂考试</w:t>
            </w:r>
          </w:p>
        </w:tc>
      </w:tr>
    </w:tbl>
    <w:p w14:paraId="683C3192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（二）评定方法 </w:t>
      </w:r>
      <w:r>
        <w:rPr>
          <w:rFonts w:hint="eastAsia" w:ascii="宋体" w:hAnsi="宋体" w:eastAsia="宋体"/>
          <w:szCs w:val="21"/>
        </w:rPr>
        <w:t>（小四号黑体）</w:t>
      </w:r>
    </w:p>
    <w:p w14:paraId="6B5162A9"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</w:rPr>
        <w:t xml:space="preserve">1．评定方法 </w:t>
      </w:r>
      <w:r>
        <w:rPr>
          <w:rFonts w:hint="eastAsia" w:ascii="宋体" w:hAnsi="宋体" w:eastAsia="宋体"/>
        </w:rPr>
        <w:t>（五号宋体）</w:t>
      </w:r>
    </w:p>
    <w:p w14:paraId="5D2E7784">
      <w:pPr>
        <w:widowControl/>
        <w:spacing w:before="156" w:beforeLines="50" w:after="156" w:afterLines="5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平时成绩：</w:t>
      </w:r>
      <w:r>
        <w:rPr>
          <w:rFonts w:ascii="宋体" w:hAnsi="宋体" w:eastAsia="宋体"/>
        </w:rPr>
        <w:t>20%</w:t>
      </w:r>
      <w:r>
        <w:rPr>
          <w:rFonts w:hint="eastAsia" w:ascii="宋体" w:hAnsi="宋体" w:eastAsia="宋体"/>
        </w:rPr>
        <w:t>，期中考试：</w:t>
      </w:r>
      <w:r>
        <w:rPr>
          <w:rFonts w:ascii="宋体" w:hAnsi="宋体" w:eastAsia="宋体"/>
        </w:rPr>
        <w:t>40%</w:t>
      </w:r>
      <w:r>
        <w:rPr>
          <w:rFonts w:hint="eastAsia" w:ascii="宋体" w:hAnsi="宋体" w:eastAsia="宋体"/>
        </w:rPr>
        <w:t>，期末考试</w:t>
      </w:r>
      <w:r>
        <w:rPr>
          <w:rFonts w:ascii="宋体" w:hAnsi="宋体" w:eastAsia="宋体"/>
        </w:rPr>
        <w:t>40%</w:t>
      </w:r>
    </w:p>
    <w:p w14:paraId="0C149BDD"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 xml:space="preserve">2．课程目标的考核占比与达成度分析 </w:t>
      </w:r>
      <w:r>
        <w:rPr>
          <w:rFonts w:hint="eastAsia" w:ascii="宋体" w:hAnsi="宋体" w:eastAsia="宋体"/>
        </w:rPr>
        <w:t>（五号宋体）</w:t>
      </w:r>
    </w:p>
    <w:p w14:paraId="6513C704"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  <w:r>
        <w:rPr>
          <w:rFonts w:hint="eastAsia" w:ascii="宋体" w:hAnsi="宋体" w:eastAsia="宋体"/>
        </w:rPr>
        <w:t>（五号宋体）</w:t>
      </w:r>
    </w:p>
    <w:tbl>
      <w:tblPr>
        <w:tblStyle w:val="6"/>
        <w:tblW w:w="7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858"/>
        <w:gridCol w:w="1134"/>
        <w:gridCol w:w="1134"/>
        <w:gridCol w:w="2627"/>
      </w:tblGrid>
      <w:tr w14:paraId="535C5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53E2B7C8"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 w14:paraId="116654B5"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300B74C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E5C463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30DB39DC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6F45C3E3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 w14:paraId="792B6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D69BEE0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0682DBE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5</w:t>
            </w:r>
            <w:r>
              <w:rPr>
                <w:rFonts w:ascii="宋体" w:hAnsi="宋体" w:eastAsia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7642AC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50%</w:t>
            </w:r>
          </w:p>
        </w:tc>
        <w:tc>
          <w:tcPr>
            <w:tcW w:w="1134" w:type="dxa"/>
            <w:vAlign w:val="center"/>
          </w:tcPr>
          <w:p w14:paraId="74EA91D8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50%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03A70E20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（例：课程</w:t>
            </w:r>
            <w:r>
              <w:rPr>
                <w:rFonts w:ascii="宋体" w:hAnsi="宋体" w:eastAsia="宋体"/>
                <w:kern w:val="0"/>
                <w:szCs w:val="21"/>
              </w:rPr>
              <w:t>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达成度={0.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3</w:t>
            </w:r>
            <w:r>
              <w:rPr>
                <w:rFonts w:ascii="宋体" w:hAnsi="宋体" w:eastAsia="宋体"/>
                <w:kern w:val="0"/>
                <w:szCs w:val="21"/>
              </w:rPr>
              <w:t>ｘ平时目标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2</w:t>
            </w:r>
            <w:r>
              <w:rPr>
                <w:rFonts w:ascii="宋体" w:hAnsi="宋体" w:eastAsia="宋体"/>
                <w:kern w:val="0"/>
                <w:szCs w:val="21"/>
              </w:rPr>
              <w:t>ｘ期中目标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5</w:t>
            </w:r>
            <w:r>
              <w:rPr>
                <w:rFonts w:ascii="宋体" w:hAnsi="宋体" w:eastAsia="宋体"/>
                <w:kern w:val="0"/>
                <w:szCs w:val="21"/>
              </w:rPr>
              <w:t>ｘ期末目标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成绩}/目标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总分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。按课程考核实际情况描述）</w:t>
            </w:r>
          </w:p>
        </w:tc>
      </w:tr>
      <w:tr w14:paraId="7BFDA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2118E81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3013038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5</w:t>
            </w:r>
            <w:r>
              <w:rPr>
                <w:rFonts w:ascii="宋体" w:hAnsi="宋体" w:eastAsia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67E709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50%</w:t>
            </w:r>
          </w:p>
        </w:tc>
        <w:tc>
          <w:tcPr>
            <w:tcW w:w="1134" w:type="dxa"/>
            <w:vAlign w:val="center"/>
          </w:tcPr>
          <w:p w14:paraId="4E56B754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50%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 w14:paraId="7A6ED2C9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 w14:paraId="78204435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（三）评分标准 </w:t>
      </w:r>
      <w:r>
        <w:rPr>
          <w:rFonts w:hint="eastAsia" w:ascii="宋体" w:hAnsi="宋体" w:eastAsia="宋体"/>
          <w:szCs w:val="21"/>
        </w:rPr>
        <w:t>（小四号黑体）</w:t>
      </w:r>
    </w:p>
    <w:tbl>
      <w:tblPr>
        <w:tblStyle w:val="6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980"/>
      </w:tblGrid>
      <w:tr w14:paraId="73B57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61E9A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 w14:paraId="273C319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779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2216A3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 w14:paraId="45E03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C76B6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807C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86-100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3A06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75-85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E714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60-74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6839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 w14:paraId="40D77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BDB0E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5970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10A9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CDB3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D97C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 w14:paraId="2C32D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61B0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BC05F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C05E1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C77FE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70A78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</w:tr>
      <w:tr w14:paraId="194E4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13A32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 w14:paraId="422FE676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710FF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能够准确地把握印度佛教产生的地理及时代背景，并对佛教发展脉络有全面认识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D4B85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对印度佛教及佛教发展脉络有较为准备的把握和认识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54F37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对印度佛教及佛教发展脉络有基本的把握和认识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BA752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不能准确把握印度佛教及佛教发展脉络</w:t>
            </w:r>
          </w:p>
        </w:tc>
      </w:tr>
      <w:tr w14:paraId="0F35E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8037B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 w14:paraId="0B41A158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1C902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对《俱舍论》有的核心概念进行深入的阐述和反思，掌握优秀的经典阅读能力，对阿毗达摩佛教哲学有全面的了解和认同。积极参与课堂讨论，论文写作严谨流畅，提出有价值的观点。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8A1FE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能够较为准确地把握《俱舍论》的思想宗旨，能对核心概念进行较好的阐述和反思，掌握较好的经典阅读能力，较为积极参与课堂讨论，论文写作达到较好水平，提出不错的观点。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8AE22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能够基本把握《俱舍论》的思想宗旨，能对核心概念进行基本的阐述和反思，掌握基本的经典阅读能力。达到基本的出席要求，完成论文，提出一定的思考。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0292A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不能准确把握《俱舍论》的思想宗旨，无法对核心概念进行基本的阐述和反思，没有掌握基本的经典阅读能力。未达到基本的出席要求，未正常完成论文。</w:t>
            </w:r>
          </w:p>
        </w:tc>
      </w:tr>
    </w:tbl>
    <w:p w14:paraId="723E77D3">
      <w:pPr>
        <w:widowControl/>
        <w:jc w:val="lef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DejaVu Math TeX Gyre"/>
    <w:panose1 w:val="02040503050203030202"/>
    <w:charset w:val="01"/>
    <w:family w:val="roman"/>
    <w:pitch w:val="default"/>
    <w:sig w:usb0="00000000" w:usb1="00000000" w:usb2="00000000" w:usb3="00000000" w:csb0="00000001" w:csb1="00000000"/>
  </w:font>
  <w:font w:name="Manga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imesNewRomanPSMT">
    <w:altName w:val="Times New Roman"/>
    <w:panose1 w:val="02020603050405020304"/>
    <w:charset w:val="80"/>
    <w:family w:val="auto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BiNzEwZjEzZGEzOThjYzU3NzRjMGEzMTAyODI0YmUifQ=="/>
  </w:docVars>
  <w:rsids>
    <w:rsidRoot w:val="001E5724"/>
    <w:rsid w:val="00022CBB"/>
    <w:rsid w:val="0003221E"/>
    <w:rsid w:val="00077A5F"/>
    <w:rsid w:val="00096EE5"/>
    <w:rsid w:val="000F054A"/>
    <w:rsid w:val="000F376E"/>
    <w:rsid w:val="00131439"/>
    <w:rsid w:val="001B5091"/>
    <w:rsid w:val="001D2B66"/>
    <w:rsid w:val="001E5724"/>
    <w:rsid w:val="0020039B"/>
    <w:rsid w:val="002012AB"/>
    <w:rsid w:val="00242673"/>
    <w:rsid w:val="00285327"/>
    <w:rsid w:val="002A7568"/>
    <w:rsid w:val="00313A87"/>
    <w:rsid w:val="00322986"/>
    <w:rsid w:val="0034254B"/>
    <w:rsid w:val="00362DF5"/>
    <w:rsid w:val="0038665C"/>
    <w:rsid w:val="003F312B"/>
    <w:rsid w:val="004070CF"/>
    <w:rsid w:val="00465A86"/>
    <w:rsid w:val="00496C59"/>
    <w:rsid w:val="004D5EC9"/>
    <w:rsid w:val="0054597E"/>
    <w:rsid w:val="005A0378"/>
    <w:rsid w:val="006003E4"/>
    <w:rsid w:val="006402E6"/>
    <w:rsid w:val="00665621"/>
    <w:rsid w:val="00683EF1"/>
    <w:rsid w:val="00687FE1"/>
    <w:rsid w:val="0069092B"/>
    <w:rsid w:val="006A4C7B"/>
    <w:rsid w:val="006B1AE1"/>
    <w:rsid w:val="006B205C"/>
    <w:rsid w:val="006E4F82"/>
    <w:rsid w:val="006E5E47"/>
    <w:rsid w:val="006F64C9"/>
    <w:rsid w:val="006F6EB2"/>
    <w:rsid w:val="00762357"/>
    <w:rsid w:val="007639A2"/>
    <w:rsid w:val="00766545"/>
    <w:rsid w:val="007C0A50"/>
    <w:rsid w:val="007C3062"/>
    <w:rsid w:val="007C379D"/>
    <w:rsid w:val="007C62ED"/>
    <w:rsid w:val="007E39E3"/>
    <w:rsid w:val="008128AD"/>
    <w:rsid w:val="008560E2"/>
    <w:rsid w:val="00860B79"/>
    <w:rsid w:val="00886EBF"/>
    <w:rsid w:val="00890031"/>
    <w:rsid w:val="00920D7F"/>
    <w:rsid w:val="009671D0"/>
    <w:rsid w:val="00A03BBD"/>
    <w:rsid w:val="00A6198F"/>
    <w:rsid w:val="00A61EFD"/>
    <w:rsid w:val="00AA4570"/>
    <w:rsid w:val="00AA630A"/>
    <w:rsid w:val="00AE3D1A"/>
    <w:rsid w:val="00B03909"/>
    <w:rsid w:val="00B40ECD"/>
    <w:rsid w:val="00B4787A"/>
    <w:rsid w:val="00BA1860"/>
    <w:rsid w:val="00BA23F0"/>
    <w:rsid w:val="00BD28C0"/>
    <w:rsid w:val="00C00798"/>
    <w:rsid w:val="00C25F0B"/>
    <w:rsid w:val="00C37E01"/>
    <w:rsid w:val="00C54636"/>
    <w:rsid w:val="00CA53B2"/>
    <w:rsid w:val="00CA6A00"/>
    <w:rsid w:val="00D02F99"/>
    <w:rsid w:val="00D13271"/>
    <w:rsid w:val="00D14471"/>
    <w:rsid w:val="00D416C8"/>
    <w:rsid w:val="00D417A1"/>
    <w:rsid w:val="00D504B7"/>
    <w:rsid w:val="00D715F7"/>
    <w:rsid w:val="00DD7B5F"/>
    <w:rsid w:val="00DE7849"/>
    <w:rsid w:val="00E05E8B"/>
    <w:rsid w:val="00E2728D"/>
    <w:rsid w:val="00E366AB"/>
    <w:rsid w:val="00E76E34"/>
    <w:rsid w:val="00EA5251"/>
    <w:rsid w:val="00ED7F81"/>
    <w:rsid w:val="00EF088A"/>
    <w:rsid w:val="00F30F9E"/>
    <w:rsid w:val="00F35744"/>
    <w:rsid w:val="00F44ACD"/>
    <w:rsid w:val="00F56396"/>
    <w:rsid w:val="00FB77A1"/>
    <w:rsid w:val="00FC24B5"/>
    <w:rsid w:val="107F6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纯文本 字符"/>
    <w:basedOn w:val="8"/>
    <w:link w:val="2"/>
    <w:uiPriority w:val="99"/>
    <w:rPr>
      <w:rFonts w:ascii="宋体" w:hAnsi="Courier New" w:eastAsia="宋体" w:cs="Times New Roman"/>
      <w:szCs w:val="20"/>
    </w:rPr>
  </w:style>
  <w:style w:type="character" w:customStyle="1" w:styleId="10">
    <w:name w:val="页眉 字符"/>
    <w:basedOn w:val="8"/>
    <w:link w:val="5"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uiPriority w:val="99"/>
    <w:rPr>
      <w:sz w:val="18"/>
      <w:szCs w:val="18"/>
    </w:rPr>
  </w:style>
  <w:style w:type="character" w:customStyle="1" w:styleId="12">
    <w:name w:val="批注框文本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6</Pages>
  <Words>2612</Words>
  <Characters>2751</Characters>
  <Lines>21</Lines>
  <Paragraphs>6</Paragraphs>
  <TotalTime>14</TotalTime>
  <ScaleCrop>false</ScaleCrop>
  <LinksUpToDate>false</LinksUpToDate>
  <CharactersWithSpaces>2807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2023-03-04T10:16:00Z</dcterms:created>
  <dc:creator>Windows User</dc:creator>
  <cp:lastModifiedBy>王一成</cp:lastModifiedBy>
  <cp:lastPrinted>2020-12-24T07:17:00Z</cp:lastPrinted>
  <dcterms:modified xsi:type="dcterms:W3CDTF">2024-09-02T04:14:19Z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C8021E02363B42EF85384B447506446E_12</vt:lpwstr>
  </property>
</Properties>
</file>