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E29F9"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《当代知识论》课程教学大纲</w:t>
      </w:r>
    </w:p>
    <w:p w14:paraId="262D21F5"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 w14:paraId="696E0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2C7C6815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BB1AA52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Contemporary Theories of Knowledge</w:t>
            </w:r>
          </w:p>
        </w:tc>
        <w:tc>
          <w:tcPr>
            <w:tcW w:w="1134" w:type="dxa"/>
            <w:vAlign w:val="center"/>
          </w:tcPr>
          <w:p w14:paraId="29DFEA93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E36DAA1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sz w:val="18"/>
                <w:szCs w:val="18"/>
              </w:rPr>
              <w:t>PHIL1032</w:t>
            </w:r>
          </w:p>
        </w:tc>
      </w:tr>
      <w:tr w14:paraId="54B54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C522D21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379A147E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仿宋_GB2312" w:eastAsia="仿宋_GB2312"/>
                <w:b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2D1106E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0141CF2B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哲学专业</w:t>
            </w:r>
          </w:p>
        </w:tc>
      </w:tr>
      <w:tr w14:paraId="28430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49864556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3F1ECF21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.0</w:t>
            </w:r>
          </w:p>
        </w:tc>
        <w:tc>
          <w:tcPr>
            <w:tcW w:w="1134" w:type="dxa"/>
            <w:vAlign w:val="center"/>
          </w:tcPr>
          <w:p w14:paraId="1BFD0B7E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55AEA6D5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.0</w:t>
            </w:r>
          </w:p>
        </w:tc>
      </w:tr>
      <w:tr w14:paraId="23ADA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2F50C80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4915D323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李继堂</w:t>
            </w:r>
          </w:p>
        </w:tc>
        <w:tc>
          <w:tcPr>
            <w:tcW w:w="1134" w:type="dxa"/>
            <w:vAlign w:val="center"/>
          </w:tcPr>
          <w:p w14:paraId="6551BA75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0B6B050E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02</w:t>
            </w: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</w:rPr>
              <w:t>年</w:t>
            </w: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</w:rPr>
              <w:t>月</w:t>
            </w:r>
            <w:r>
              <w:rPr>
                <w:rFonts w:hint="eastAsia" w:ascii="宋体" w:hAnsi="宋体" w:eastAsia="宋体"/>
                <w:lang w:val="en-US" w:eastAsia="zh-CN"/>
              </w:rPr>
              <w:t>25</w:t>
            </w:r>
            <w:r>
              <w:rPr>
                <w:rFonts w:hint="eastAsia" w:ascii="宋体" w:hAnsi="宋体" w:eastAsia="宋体"/>
              </w:rPr>
              <w:t>日</w:t>
            </w:r>
            <w:bookmarkStart w:id="10" w:name="_GoBack"/>
            <w:bookmarkEnd w:id="10"/>
          </w:p>
        </w:tc>
      </w:tr>
      <w:tr w14:paraId="3810C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58319B96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22A9E8A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t>N</w:t>
            </w:r>
            <w:r>
              <w:rPr>
                <w:rFonts w:hint="eastAsia"/>
              </w:rPr>
              <w:t>.Lemos著，"An Introduction to the theory of Knowledge"，剑桥大学出版社，2004年。</w:t>
            </w:r>
          </w:p>
        </w:tc>
      </w:tr>
    </w:tbl>
    <w:p w14:paraId="77B5129C"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 w14:paraId="7897DE48"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 w14:paraId="0E819E7F">
      <w:pPr>
        <w:pStyle w:val="2"/>
        <w:spacing w:before="156" w:beforeLines="50" w:after="156" w:afterLines="50"/>
        <w:ind w:firstLine="420" w:firstLineChars="200"/>
        <w:rPr>
          <w:rFonts w:hAnsi="宋体"/>
        </w:rPr>
      </w:pPr>
      <w:r>
        <w:rPr>
          <w:rFonts w:hint="eastAsia" w:hAnsi="宋体" w:cs="宋体"/>
        </w:rPr>
        <w:t>《当代知识论》属于</w:t>
      </w:r>
      <w:r>
        <w:rPr>
          <w:rFonts w:hint="eastAsia" w:hAnsi="宋体"/>
        </w:rPr>
        <w:t>专业教学课程中的专业选修课，课程旨在系统介绍该学科的基本概念和基础理论，使学生对本学科形成严格整体认识。除了了解学科发展的大致历史，主要是澄清一些基本概念，熟悉相关基本理论，掌握当代知识论的主要论证方法。为进一步的哲学及其他相关学科的学习和研究打下坚实基础，提高我们分析问题的能力。</w:t>
      </w:r>
    </w:p>
    <w:p w14:paraId="6C70B910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  <w:r>
        <w:rPr>
          <w:rFonts w:hAnsi="宋体" w:cs="宋体"/>
        </w:rPr>
        <w:t xml:space="preserve"> </w:t>
      </w:r>
    </w:p>
    <w:p w14:paraId="3B7879BF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针对学习过哲学概论的学生，系统了解知识论在整个哲学学科的基础地位。对知识论最基本的问题有正确的理解。掌握当代知识论的一些基本理论。熟悉当代知识论为代表的分析哲学</w:t>
      </w:r>
    </w:p>
    <w:p w14:paraId="17E373A0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课程目标1：了解标准的知识定义和概念</w:t>
      </w:r>
    </w:p>
    <w:p w14:paraId="0BD76F6F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1．1</w:t>
      </w:r>
      <w:r>
        <w:rPr>
          <w:rFonts w:hAnsi="宋体" w:cs="宋体"/>
        </w:rPr>
        <w:t xml:space="preserve"> </w:t>
      </w:r>
      <w:r>
        <w:rPr>
          <w:rFonts w:hint="eastAsia" w:hAnsi="宋体" w:cs="宋体"/>
        </w:rPr>
        <w:t>知道和知识分类</w:t>
      </w:r>
    </w:p>
    <w:p w14:paraId="7B004154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int="eastAsia" w:hAnsi="宋体" w:cs="宋体"/>
        </w:rPr>
        <w:t>．2</w:t>
      </w:r>
      <w:r>
        <w:rPr>
          <w:rFonts w:hAnsi="宋体" w:cs="宋体"/>
        </w:rPr>
        <w:t xml:space="preserve"> </w:t>
      </w:r>
      <w:r>
        <w:rPr>
          <w:rFonts w:hint="eastAsia" w:hAnsi="宋体" w:cs="宋体"/>
        </w:rPr>
        <w:t>知识的标准定义和相关基本概念</w:t>
      </w:r>
    </w:p>
    <w:p w14:paraId="6E76F9CE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</w:p>
    <w:p w14:paraId="53D7349E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课程目标2：理解标准的知识定义面临的挑战</w:t>
      </w:r>
    </w:p>
    <w:p w14:paraId="020A6A0B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2．1</w:t>
      </w:r>
      <w:r>
        <w:rPr>
          <w:rFonts w:hAnsi="宋体" w:cs="宋体"/>
        </w:rPr>
        <w:t xml:space="preserve"> </w:t>
      </w:r>
      <w:r>
        <w:rPr>
          <w:rFonts w:hint="eastAsia" w:hAnsi="宋体" w:cs="宋体"/>
        </w:rPr>
        <w:t>盖梯尔问题</w:t>
      </w:r>
    </w:p>
    <w:p w14:paraId="6492D6E6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int="eastAsia" w:hAnsi="宋体" w:cs="宋体"/>
        </w:rPr>
        <w:t>．2</w:t>
      </w:r>
      <w:r>
        <w:rPr>
          <w:rFonts w:hAnsi="宋体" w:cs="宋体"/>
        </w:rPr>
        <w:t xml:space="preserve"> </w:t>
      </w:r>
      <w:r>
        <w:rPr>
          <w:rFonts w:hint="eastAsia" w:hAnsi="宋体" w:cs="宋体"/>
        </w:rPr>
        <w:t>对挑战的回应</w:t>
      </w:r>
    </w:p>
    <w:p w14:paraId="704B2A84">
      <w:pPr>
        <w:pStyle w:val="2"/>
        <w:spacing w:before="156" w:beforeLines="50" w:after="156" w:afterLines="50"/>
        <w:rPr>
          <w:rFonts w:hAnsi="宋体" w:cs="宋体"/>
        </w:rPr>
      </w:pPr>
      <w:r>
        <w:rPr>
          <w:rFonts w:hAnsi="宋体" w:cs="宋体"/>
        </w:rPr>
        <w:t xml:space="preserve">   </w:t>
      </w:r>
    </w:p>
    <w:p w14:paraId="0EAB0F8E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课程目标3：掌握系统的知识论理论及其论证</w:t>
      </w:r>
    </w:p>
    <w:p w14:paraId="0264D0BB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3</w:t>
      </w:r>
      <w:r>
        <w:rPr>
          <w:rFonts w:hAnsi="宋体" w:cs="宋体"/>
        </w:rPr>
        <w:t xml:space="preserve">.1  </w:t>
      </w:r>
      <w:r>
        <w:rPr>
          <w:rFonts w:hint="eastAsia" w:hAnsi="宋体" w:cs="宋体"/>
        </w:rPr>
        <w:t>基础主义</w:t>
      </w:r>
    </w:p>
    <w:p w14:paraId="46498083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3</w:t>
      </w:r>
      <w:r>
        <w:rPr>
          <w:rFonts w:hAnsi="宋体" w:cs="宋体"/>
        </w:rPr>
        <w:t xml:space="preserve">.2  </w:t>
      </w:r>
      <w:r>
        <w:rPr>
          <w:rFonts w:hint="eastAsia" w:hAnsi="宋体" w:cs="宋体"/>
        </w:rPr>
        <w:t>融贯论</w:t>
      </w:r>
    </w:p>
    <w:p w14:paraId="538068F7"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3</w:t>
      </w:r>
      <w:r>
        <w:rPr>
          <w:rFonts w:hAnsi="宋体" w:cs="宋体"/>
        </w:rPr>
        <w:t xml:space="preserve">.3  </w:t>
      </w:r>
      <w:r>
        <w:rPr>
          <w:rFonts w:hint="eastAsia" w:hAnsi="宋体" w:cs="宋体"/>
        </w:rPr>
        <w:t>可靠论和德性知识论</w:t>
      </w:r>
    </w:p>
    <w:p w14:paraId="23453C51">
      <w:pPr>
        <w:pStyle w:val="2"/>
        <w:spacing w:before="156" w:beforeLines="50" w:after="156" w:afterLines="50"/>
        <w:ind w:firstLine="420" w:firstLineChars="200"/>
        <w:rPr>
          <w:rFonts w:hint="default" w:hAnsi="宋体" w:eastAsia="宋体" w:cs="宋体"/>
          <w:lang w:val="en-US" w:eastAsia="zh-CN"/>
        </w:rPr>
      </w:pPr>
      <w:r>
        <w:rPr>
          <w:rFonts w:hint="eastAsia" w:hAnsi="宋体" w:cs="宋体"/>
          <w:lang w:val="en-US" w:eastAsia="zh-CN"/>
        </w:rPr>
        <w:t>3.4  贝叶斯认识论</w:t>
      </w:r>
    </w:p>
    <w:p w14:paraId="0047B648">
      <w:pPr>
        <w:pStyle w:val="2"/>
        <w:spacing w:before="156" w:beforeLines="50" w:after="156" w:afterLines="50"/>
        <w:rPr>
          <w:rFonts w:hAnsi="宋体" w:cs="宋体"/>
        </w:rPr>
      </w:pPr>
    </w:p>
    <w:p w14:paraId="5A28A6DF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 w14:paraId="64969420"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</w:p>
    <w:tbl>
      <w:tblPr>
        <w:tblStyle w:val="6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 w14:paraId="5EBEC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7FBD730D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21F3BB5A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E672877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76881C9E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 w14:paraId="2F3CE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58C610AD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417AA73F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1.1</w:t>
            </w:r>
          </w:p>
        </w:tc>
        <w:tc>
          <w:tcPr>
            <w:tcW w:w="3118" w:type="dxa"/>
            <w:vAlign w:val="center"/>
          </w:tcPr>
          <w:p w14:paraId="196EF308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ascii="黑体" w:eastAsia="黑体"/>
              </w:rPr>
              <w:t xml:space="preserve"> </w:t>
            </w:r>
            <w:bookmarkStart w:id="0" w:name="_Hlk71194917"/>
            <w:r>
              <w:rPr>
                <w:rFonts w:hint="eastAsia" w:ascii="黑体" w:eastAsia="黑体"/>
              </w:rPr>
              <w:t>Knowledge, truth, and justification</w:t>
            </w:r>
            <w:bookmarkEnd w:id="0"/>
          </w:p>
        </w:tc>
        <w:tc>
          <w:tcPr>
            <w:tcW w:w="2688" w:type="dxa"/>
            <w:vAlign w:val="center"/>
          </w:tcPr>
          <w:p w14:paraId="506E36E6"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“对思维科学的相关知识具有相当的把握，了解国外哲学界最重要的理论前沿和发展动态，具备进一步从事哲学专业研究的理论基础。”</w:t>
            </w:r>
          </w:p>
        </w:tc>
      </w:tr>
      <w:tr w14:paraId="46AA6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4EE410EF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E6A7845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1.2</w:t>
            </w:r>
          </w:p>
        </w:tc>
        <w:tc>
          <w:tcPr>
            <w:tcW w:w="3118" w:type="dxa"/>
            <w:vAlign w:val="center"/>
          </w:tcPr>
          <w:p w14:paraId="7594A191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ascii="黑体" w:eastAsia="黑体"/>
              </w:rPr>
              <w:t xml:space="preserve"> belief, truth, and justification</w:t>
            </w:r>
          </w:p>
        </w:tc>
        <w:tc>
          <w:tcPr>
            <w:tcW w:w="2688" w:type="dxa"/>
            <w:vAlign w:val="center"/>
          </w:tcPr>
          <w:p w14:paraId="620721D9"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“对思维科学的相关知识具有相当的把握，了解国外哲学界最重要的理论前沿和发展动态。</w:t>
            </w:r>
            <w:r>
              <w:rPr>
                <w:rFonts w:hAnsi="宋体" w:cs="宋体"/>
              </w:rPr>
              <w:t>”</w:t>
            </w:r>
          </w:p>
        </w:tc>
      </w:tr>
      <w:tr w14:paraId="5E64E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12C4CD8E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230E694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2.1</w:t>
            </w:r>
          </w:p>
        </w:tc>
        <w:tc>
          <w:tcPr>
            <w:tcW w:w="3118" w:type="dxa"/>
            <w:vAlign w:val="center"/>
          </w:tcPr>
          <w:p w14:paraId="7AE96E1B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ascii="黑体" w:eastAsia="黑体"/>
              </w:rPr>
              <w:t>The traditional analysis and the Gettier problem</w:t>
            </w:r>
          </w:p>
        </w:tc>
        <w:tc>
          <w:tcPr>
            <w:tcW w:w="2688" w:type="dxa"/>
            <w:vAlign w:val="center"/>
          </w:tcPr>
          <w:p w14:paraId="6831ED2E"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“对思维科学的相关知识具有相当的把握，了解国外哲学界最重要的理论前沿和发展动态。”</w:t>
            </w:r>
          </w:p>
        </w:tc>
      </w:tr>
      <w:tr w14:paraId="09C44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5F5D3A7E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699EF2F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2.2</w:t>
            </w:r>
          </w:p>
        </w:tc>
        <w:tc>
          <w:tcPr>
            <w:tcW w:w="3118" w:type="dxa"/>
            <w:vAlign w:val="center"/>
          </w:tcPr>
          <w:p w14:paraId="2A7997C5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eastAsia="黑体"/>
              </w:rPr>
              <w:t>The traditional analysis and the Gettier problem</w:t>
            </w:r>
          </w:p>
        </w:tc>
        <w:tc>
          <w:tcPr>
            <w:tcW w:w="2688" w:type="dxa"/>
            <w:vAlign w:val="center"/>
          </w:tcPr>
          <w:p w14:paraId="15C0352A"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Ansi="宋体" w:cs="宋体"/>
              </w:rPr>
              <w:t>“</w:t>
            </w:r>
            <w:r>
              <w:rPr>
                <w:rFonts w:hint="eastAsia" w:hAnsi="宋体" w:cs="宋体"/>
              </w:rPr>
              <w:t>对思维科学的相关知识具有相当的把握，具备进一步从事哲学专业研究的理论基础。</w:t>
            </w:r>
            <w:r>
              <w:rPr>
                <w:rFonts w:hAnsi="宋体" w:cs="宋体"/>
              </w:rPr>
              <w:t>”</w:t>
            </w:r>
          </w:p>
        </w:tc>
      </w:tr>
      <w:tr w14:paraId="0B68B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49383C2F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0D69B171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 w14:paraId="2AC8F1C7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eastAsia="黑体"/>
              </w:rPr>
              <w:t>Foundationalism</w:t>
            </w:r>
          </w:p>
        </w:tc>
        <w:tc>
          <w:tcPr>
            <w:tcW w:w="2688" w:type="dxa"/>
            <w:vAlign w:val="center"/>
          </w:tcPr>
          <w:p w14:paraId="79F01BD5"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“对思维科学的相关知识具有相当的把握，具备进一步从事哲学专业研究的理论基础。”</w:t>
            </w:r>
          </w:p>
        </w:tc>
      </w:tr>
      <w:tr w14:paraId="580A6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270545ED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05852D8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14:paraId="276EE65D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eastAsia="黑体"/>
              </w:rPr>
              <w:t>Foundationalism</w:t>
            </w:r>
          </w:p>
        </w:tc>
        <w:tc>
          <w:tcPr>
            <w:tcW w:w="2688" w:type="dxa"/>
            <w:vAlign w:val="center"/>
          </w:tcPr>
          <w:p w14:paraId="6488329C"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“对思维科学的相关知识具有相当的把握，具备进一步从事哲学专业研究的理论基础。”</w:t>
            </w:r>
          </w:p>
        </w:tc>
      </w:tr>
      <w:tr w14:paraId="45A65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486ACA9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3EA0D85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14:paraId="05156FED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eastAsia="黑体"/>
              </w:rPr>
              <w:t>The coherence theory of justification</w:t>
            </w:r>
          </w:p>
        </w:tc>
        <w:tc>
          <w:tcPr>
            <w:tcW w:w="2688" w:type="dxa"/>
            <w:vAlign w:val="center"/>
          </w:tcPr>
          <w:p w14:paraId="22738AF3"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Ansi="宋体" w:cs="宋体"/>
              </w:rPr>
              <w:t>“</w:t>
            </w:r>
            <w:r>
              <w:rPr>
                <w:rFonts w:hint="eastAsia" w:hAnsi="宋体" w:cs="宋体"/>
              </w:rPr>
              <w:t>对思维科学的相关知识具有相当的把握，具备进一步从事哲学专业研究的理论基础。</w:t>
            </w:r>
            <w:r>
              <w:rPr>
                <w:rFonts w:hAnsi="宋体" w:cs="宋体"/>
              </w:rPr>
              <w:t>”</w:t>
            </w:r>
          </w:p>
        </w:tc>
      </w:tr>
      <w:tr w14:paraId="134D9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4A71C765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9FB49DB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3</w:t>
            </w:r>
            <w:r>
              <w:rPr>
                <w:rFonts w:hAnsi="宋体" w:cs="宋体"/>
              </w:rPr>
              <w:t>.2</w:t>
            </w:r>
          </w:p>
        </w:tc>
        <w:tc>
          <w:tcPr>
            <w:tcW w:w="3118" w:type="dxa"/>
            <w:vAlign w:val="center"/>
          </w:tcPr>
          <w:p w14:paraId="084D1A13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eastAsia="黑体"/>
              </w:rPr>
              <w:t>Reliabilism and virtue epistemology</w:t>
            </w:r>
          </w:p>
        </w:tc>
        <w:tc>
          <w:tcPr>
            <w:tcW w:w="2688" w:type="dxa"/>
            <w:vAlign w:val="center"/>
          </w:tcPr>
          <w:p w14:paraId="10EDF145"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Ansi="宋体" w:cs="宋体"/>
              </w:rPr>
              <w:t>“</w:t>
            </w:r>
            <w:r>
              <w:rPr>
                <w:rFonts w:hint="eastAsia" w:hAnsi="宋体" w:cs="宋体"/>
              </w:rPr>
              <w:t>对思维科学的相关知识具有相当的把握，了解国外哲学界最重要的理论前沿和发展动态，具备进一步从事哲学专业研究的理论基础。</w:t>
            </w:r>
            <w:r>
              <w:rPr>
                <w:rFonts w:hAnsi="宋体" w:cs="宋体"/>
              </w:rPr>
              <w:t>”</w:t>
            </w:r>
          </w:p>
        </w:tc>
      </w:tr>
      <w:tr w14:paraId="396FF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57208DAF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332312E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3.3</w:t>
            </w:r>
          </w:p>
        </w:tc>
        <w:tc>
          <w:tcPr>
            <w:tcW w:w="3118" w:type="dxa"/>
            <w:vAlign w:val="center"/>
          </w:tcPr>
          <w:p w14:paraId="1FB319FC">
            <w:pPr>
              <w:pStyle w:val="2"/>
              <w:spacing w:before="156" w:beforeLines="50" w:after="156" w:afterLines="50"/>
              <w:jc w:val="center"/>
              <w:rPr>
                <w:rFonts w:hint="default" w:ascii="黑体" w:eastAsia="黑体"/>
                <w:lang w:val="en-US" w:eastAsia="zh-CN"/>
              </w:rPr>
            </w:pPr>
            <w:r>
              <w:rPr>
                <w:rFonts w:hint="eastAsia" w:ascii="黑体" w:eastAsia="黑体"/>
                <w:lang w:val="en-US" w:eastAsia="zh-CN"/>
              </w:rPr>
              <w:t>Bayesian Epistemology</w:t>
            </w:r>
          </w:p>
        </w:tc>
        <w:tc>
          <w:tcPr>
            <w:tcW w:w="2688" w:type="dxa"/>
            <w:vAlign w:val="center"/>
          </w:tcPr>
          <w:p w14:paraId="651BA07D"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Ansi="宋体" w:cs="宋体"/>
              </w:rPr>
              <w:t>“</w:t>
            </w:r>
            <w:r>
              <w:rPr>
                <w:rFonts w:hint="eastAsia" w:hAnsi="宋体" w:cs="宋体"/>
              </w:rPr>
              <w:t>对思维科学的相关知识具有相当的把握，了解国外哲学界</w:t>
            </w:r>
            <w:r>
              <w:rPr>
                <w:rFonts w:hint="eastAsia" w:hAnsi="宋体" w:cs="宋体"/>
                <w:lang w:val="en-US" w:eastAsia="zh-CN"/>
              </w:rPr>
              <w:t>贝叶斯认识论</w:t>
            </w:r>
            <w:r>
              <w:rPr>
                <w:rFonts w:hint="eastAsia" w:hAnsi="宋体" w:cs="宋体"/>
              </w:rPr>
              <w:t>最重要的理论前沿和发展动态，具备进一步从事哲学专业研究的理论基础。</w:t>
            </w:r>
            <w:r>
              <w:rPr>
                <w:rFonts w:hAnsi="宋体" w:cs="宋体"/>
              </w:rPr>
              <w:t>”</w:t>
            </w:r>
          </w:p>
        </w:tc>
      </w:tr>
    </w:tbl>
    <w:p w14:paraId="0E572804"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 w14:paraId="5985F42D">
      <w:pPr>
        <w:widowControl/>
        <w:spacing w:before="156" w:beforeLines="50" w:after="156" w:afterLines="50"/>
        <w:ind w:firstLine="482" w:firstLineChars="200"/>
        <w:jc w:val="left"/>
      </w:pPr>
      <w:bookmarkStart w:id="1" w:name="_Hlk71196707"/>
      <w:bookmarkStart w:id="2" w:name="_Hlk71196573"/>
      <w:r>
        <w:rPr>
          <w:rFonts w:hint="eastAsia" w:ascii="黑体" w:hAnsi="黑体" w:eastAsia="黑体" w:cs="Times New Roman"/>
          <w:b/>
          <w:sz w:val="24"/>
          <w:szCs w:val="24"/>
        </w:rPr>
        <w:t>第一章</w:t>
      </w:r>
      <w:bookmarkEnd w:id="1"/>
      <w:r>
        <w:rPr>
          <w:rFonts w:hint="eastAsia" w:ascii="黑体" w:hAnsi="黑体" w:eastAsia="黑体" w:cs="Times New Roman"/>
          <w:b/>
          <w:sz w:val="24"/>
          <w:szCs w:val="24"/>
        </w:rPr>
        <w:t xml:space="preserve"> Knowledge, truth, and justification</w:t>
      </w:r>
      <w:r>
        <w:rPr>
          <w:rFonts w:hint="eastAsia" w:ascii="宋体" w:hAnsi="宋体" w:cs="宋体"/>
          <w:b/>
          <w:color w:val="000000"/>
          <w:kern w:val="0"/>
          <w:sz w:val="20"/>
          <w:szCs w:val="20"/>
        </w:rPr>
        <w:t xml:space="preserve"> </w:t>
      </w:r>
    </w:p>
    <w:p w14:paraId="02F554B1">
      <w:pPr>
        <w:widowControl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bookmarkStart w:id="3" w:name="_Hlk71196634"/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教学目标：知道和知识的分类</w:t>
      </w:r>
    </w:p>
    <w:p w14:paraId="18BEC4D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教学重难点：知识分类和命题性知识；辩护的概念</w:t>
      </w:r>
    </w:p>
    <w:p w14:paraId="699180C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教学内容：知道知识论的主要问题和知识分类； 掌握JTF的标准分析的知识定义，以及信念、真理、辩护的准确意义。</w:t>
      </w:r>
    </w:p>
    <w:p w14:paraId="0E0771D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教学方法：讲授和讨论</w:t>
      </w:r>
    </w:p>
    <w:p w14:paraId="4EA753D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教学评价：</w:t>
      </w:r>
      <w:bookmarkStart w:id="4" w:name="_Hlk71197300"/>
      <w:r>
        <w:rPr>
          <w:rFonts w:hint="eastAsia" w:ascii="宋体" w:hAnsi="宋体" w:eastAsia="宋体" w:cs="TimesNewRomanPSMT"/>
          <w:color w:val="000000"/>
          <w:kern w:val="0"/>
          <w:szCs w:val="21"/>
        </w:rPr>
        <w:t>提问和举例</w:t>
      </w:r>
      <w:bookmarkEnd w:id="4"/>
    </w:p>
    <w:bookmarkEnd w:id="3"/>
    <w:p w14:paraId="04486049">
      <w:pPr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</w:t>
      </w:r>
      <w:r>
        <w:rPr>
          <w:rFonts w:ascii="宋体" w:hAnsi="宋体" w:eastAsia="宋体" w:cs="TimesNewRomanPSMT"/>
          <w:color w:val="000000"/>
          <w:kern w:val="0"/>
          <w:szCs w:val="21"/>
        </w:rPr>
        <w:t xml:space="preserve">   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第二章 </w:t>
      </w:r>
      <w:r>
        <w:rPr>
          <w:rFonts w:ascii="黑体" w:eastAsia="黑体"/>
        </w:rPr>
        <w:t>The traditional analysis and the Gettier problem</w:t>
      </w:r>
    </w:p>
    <w:p w14:paraId="3100E52C">
      <w:pPr>
        <w:widowControl/>
        <w:spacing w:before="156" w:beforeLines="50" w:after="156" w:afterLines="5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</w:t>
      </w:r>
      <w:r>
        <w:rPr>
          <w:rFonts w:ascii="宋体" w:hAnsi="宋体" w:eastAsia="宋体" w:cs="TimesNewRomanPSMT"/>
          <w:color w:val="000000"/>
          <w:kern w:val="0"/>
          <w:szCs w:val="21"/>
        </w:rPr>
        <w:t xml:space="preserve">   1.教学目标：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Gettier问题</w:t>
      </w:r>
    </w:p>
    <w:p w14:paraId="4DA3D11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2.教学重难点：</w:t>
      </w:r>
      <w:bookmarkStart w:id="5" w:name="_Hlk71197261"/>
      <w:r>
        <w:rPr>
          <w:rFonts w:hint="eastAsia" w:ascii="宋体" w:hAnsi="宋体" w:eastAsia="宋体" w:cs="TimesNewRomanPSMT"/>
          <w:color w:val="000000"/>
          <w:kern w:val="0"/>
          <w:szCs w:val="21"/>
        </w:rPr>
        <w:t>盖梯尔反例</w:t>
      </w:r>
      <w:bookmarkEnd w:id="5"/>
      <w:r>
        <w:rPr>
          <w:rFonts w:hint="eastAsia" w:ascii="宋体" w:hAnsi="宋体" w:eastAsia="宋体" w:cs="TimesNewRomanPSMT"/>
          <w:color w:val="000000"/>
          <w:kern w:val="0"/>
          <w:szCs w:val="21"/>
        </w:rPr>
        <w:t>；回应</w:t>
      </w:r>
      <w:r>
        <w:rPr>
          <w:rFonts w:ascii="宋体" w:hAnsi="宋体" w:eastAsia="宋体" w:cs="TimesNewRomanPSMT"/>
          <w:color w:val="000000"/>
          <w:kern w:val="0"/>
          <w:szCs w:val="21"/>
        </w:rPr>
        <w:t>盖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梯尔反例</w:t>
      </w:r>
    </w:p>
    <w:p w14:paraId="4F15695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 xml:space="preserve">3.教学内容： 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掌握</w:t>
      </w:r>
      <w:bookmarkStart w:id="6" w:name="_Hlk71197111"/>
      <w:r>
        <w:rPr>
          <w:rFonts w:hint="eastAsia" w:ascii="宋体" w:hAnsi="宋体" w:eastAsia="宋体" w:cs="TimesNewRomanPSMT"/>
          <w:color w:val="000000"/>
          <w:kern w:val="0"/>
          <w:szCs w:val="21"/>
        </w:rPr>
        <w:t>Gettier问题</w:t>
      </w:r>
      <w:bookmarkEnd w:id="6"/>
      <w:r>
        <w:rPr>
          <w:rFonts w:hint="eastAsia" w:ascii="宋体" w:hAnsi="宋体" w:eastAsia="宋体" w:cs="TimesNewRomanPSMT"/>
          <w:color w:val="000000"/>
          <w:kern w:val="0"/>
          <w:szCs w:val="21"/>
        </w:rPr>
        <w:t>及其后果；理解对Gettier问题的批判</w:t>
      </w:r>
    </w:p>
    <w:p w14:paraId="0377E5C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 xml:space="preserve">4.教学方法： </w:t>
      </w:r>
      <w:bookmarkStart w:id="7" w:name="_Hlk71197321"/>
      <w:r>
        <w:rPr>
          <w:rFonts w:hint="eastAsia" w:ascii="宋体" w:hAnsi="宋体" w:eastAsia="宋体" w:cs="TimesNewRomanPSMT"/>
          <w:color w:val="000000"/>
          <w:kern w:val="0"/>
          <w:szCs w:val="21"/>
        </w:rPr>
        <w:t>讲授和讨论</w:t>
      </w:r>
      <w:bookmarkEnd w:id="7"/>
    </w:p>
    <w:p w14:paraId="0B7E7AE2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5.教学评价：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提问和举例</w:t>
      </w:r>
    </w:p>
    <w:p w14:paraId="5A16F0FD">
      <w:pPr>
        <w:widowControl/>
        <w:spacing w:before="156" w:beforeLines="50" w:after="156" w:afterLines="50"/>
        <w:ind w:firstLine="482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第三章 Foundationalism</w:t>
      </w:r>
    </w:p>
    <w:p w14:paraId="3D280728">
      <w:pPr>
        <w:widowControl/>
        <w:spacing w:before="156" w:beforeLines="50" w:after="156" w:afterLines="5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</w:t>
      </w:r>
      <w:r>
        <w:rPr>
          <w:rFonts w:ascii="宋体" w:hAnsi="宋体" w:eastAsia="宋体" w:cs="TimesNewRomanPSMT"/>
          <w:color w:val="000000"/>
          <w:kern w:val="0"/>
          <w:szCs w:val="21"/>
        </w:rPr>
        <w:t xml:space="preserve">   1.教学目标：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掌握基础主义</w:t>
      </w:r>
    </w:p>
    <w:p w14:paraId="43A75CE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2.教学重难点：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基础主义的意义；辩护过的基本信念</w:t>
      </w:r>
    </w:p>
    <w:p w14:paraId="06A4D04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 xml:space="preserve">3.教学内容： 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理解知识论的基础主义含义和类型；了解对基础主义的辩护和批判。</w:t>
      </w:r>
    </w:p>
    <w:p w14:paraId="7BD822D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4.教学方法： 讲授和讨论</w:t>
      </w:r>
    </w:p>
    <w:p w14:paraId="2DBE730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5.教学评价：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提问和举例</w:t>
      </w:r>
    </w:p>
    <w:p w14:paraId="1FD8332C">
      <w:pPr>
        <w:widowControl/>
        <w:spacing w:before="156" w:beforeLines="50" w:after="156" w:afterLines="50"/>
        <w:ind w:firstLine="482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第四章 The coherence theory of justification</w:t>
      </w:r>
    </w:p>
    <w:p w14:paraId="442FEDF5">
      <w:pPr>
        <w:widowControl/>
        <w:spacing w:before="156" w:beforeLines="50" w:after="156" w:afterLines="5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</w:t>
      </w:r>
      <w:r>
        <w:rPr>
          <w:rFonts w:ascii="宋体" w:hAnsi="宋体" w:eastAsia="宋体" w:cs="TimesNewRomanPSMT"/>
          <w:color w:val="000000"/>
          <w:kern w:val="0"/>
          <w:szCs w:val="21"/>
        </w:rPr>
        <w:t xml:space="preserve">   1.教学目标：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掌握融贯论</w:t>
      </w:r>
    </w:p>
    <w:p w14:paraId="7DC8BB1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2.教学重难点：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融贯论意义；对基础主义的批判</w:t>
      </w:r>
    </w:p>
    <w:p w14:paraId="18BDB766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 xml:space="preserve">3.教学内容： 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理解知识论的融贯论含义和批判</w:t>
      </w:r>
    </w:p>
    <w:p w14:paraId="41318252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4.教学方法： 讲授和讨论</w:t>
      </w:r>
    </w:p>
    <w:p w14:paraId="23615B7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5.教学评价：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</w:t>
      </w:r>
      <w:bookmarkStart w:id="8" w:name="_Hlk71197807"/>
      <w:r>
        <w:rPr>
          <w:rFonts w:hint="eastAsia" w:ascii="宋体" w:hAnsi="宋体" w:eastAsia="宋体" w:cs="TimesNewRomanPSMT"/>
          <w:color w:val="000000"/>
          <w:kern w:val="0"/>
          <w:szCs w:val="21"/>
        </w:rPr>
        <w:t>提问和举例</w:t>
      </w:r>
      <w:bookmarkEnd w:id="8"/>
    </w:p>
    <w:p w14:paraId="7047C1DD">
      <w:pPr>
        <w:widowControl/>
        <w:spacing w:before="156" w:beforeLines="50" w:after="156" w:afterLines="50"/>
        <w:ind w:firstLine="482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第五章 Reliabilism and virtue epistemology</w:t>
      </w:r>
    </w:p>
    <w:p w14:paraId="0BE52071">
      <w:pPr>
        <w:widowControl/>
        <w:spacing w:before="156" w:beforeLines="50" w:after="156" w:afterLines="5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</w:t>
      </w:r>
      <w:r>
        <w:rPr>
          <w:rFonts w:ascii="宋体" w:hAnsi="宋体" w:eastAsia="宋体" w:cs="TimesNewRomanPSMT"/>
          <w:color w:val="000000"/>
          <w:kern w:val="0"/>
          <w:szCs w:val="21"/>
        </w:rPr>
        <w:t xml:space="preserve">   1.教学目标：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掌握两种新理论</w:t>
      </w:r>
    </w:p>
    <w:p w14:paraId="701A564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2.教学重难点：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可靠论和德性知识论观点；德性知识论的意义</w:t>
      </w:r>
    </w:p>
    <w:p w14:paraId="3D6DE49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 xml:space="preserve">3.教学内容： 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掌握可靠主义的理论意义；掌握德性知识论的意义</w:t>
      </w:r>
    </w:p>
    <w:p w14:paraId="3BE6A72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4.教学方法： 讲授和讨论</w:t>
      </w:r>
    </w:p>
    <w:p w14:paraId="1AA7758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5.教学评价：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</w:t>
      </w:r>
      <w:bookmarkStart w:id="9" w:name="_Hlk71198044"/>
      <w:r>
        <w:rPr>
          <w:rFonts w:hint="eastAsia" w:ascii="宋体" w:hAnsi="宋体" w:eastAsia="宋体" w:cs="TimesNewRomanPSMT"/>
          <w:color w:val="000000"/>
          <w:kern w:val="0"/>
          <w:szCs w:val="21"/>
        </w:rPr>
        <w:t>提问和举例</w:t>
      </w:r>
      <w:bookmarkEnd w:id="9"/>
    </w:p>
    <w:p w14:paraId="133C0EF2">
      <w:pPr>
        <w:widowControl/>
        <w:spacing w:before="156" w:beforeLines="50" w:after="156" w:afterLines="50"/>
        <w:ind w:firstLine="482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第六章 </w:t>
      </w:r>
      <w:r>
        <w:rPr>
          <w:rFonts w:ascii="黑体" w:hAnsi="黑体" w:eastAsia="黑体" w:cs="Times New Roman"/>
          <w:b/>
          <w:sz w:val="24"/>
          <w:szCs w:val="24"/>
        </w:rPr>
        <w:t>Internalism, externalism, and epistemic circularity</w:t>
      </w:r>
    </w:p>
    <w:p w14:paraId="021624FF">
      <w:pPr>
        <w:widowControl/>
        <w:spacing w:before="156" w:beforeLines="50" w:after="156" w:afterLines="5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</w:t>
      </w:r>
      <w:r>
        <w:rPr>
          <w:rFonts w:ascii="宋体" w:hAnsi="宋体" w:eastAsia="宋体" w:cs="TimesNewRomanPSMT"/>
          <w:color w:val="000000"/>
          <w:kern w:val="0"/>
          <w:szCs w:val="21"/>
        </w:rPr>
        <w:t xml:space="preserve">   1.教学目标：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了解内在论和外在论</w:t>
      </w:r>
    </w:p>
    <w:p w14:paraId="2695FE4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2.教学重难点：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内在论和外在论的划分；认知循环问题</w:t>
      </w:r>
    </w:p>
    <w:p w14:paraId="63482FF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 xml:space="preserve">3.教学内容： 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理解内在论和外在论的划分和意义；了解对认知循环问题</w:t>
      </w:r>
    </w:p>
    <w:p w14:paraId="6364656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4.教学方法： 讲授和讨论</w:t>
      </w:r>
    </w:p>
    <w:p w14:paraId="1D93F2D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5.教学评价：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提问和举例</w:t>
      </w:r>
    </w:p>
    <w:p w14:paraId="667947AD">
      <w:pPr>
        <w:widowControl/>
        <w:spacing w:before="156" w:beforeLines="50" w:after="156" w:afterLines="50"/>
        <w:ind w:firstLine="482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第七章 Skepticism</w:t>
      </w:r>
    </w:p>
    <w:p w14:paraId="55BF992E">
      <w:pPr>
        <w:widowControl/>
        <w:spacing w:before="156" w:beforeLines="50" w:after="156" w:afterLines="5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</w:t>
      </w:r>
      <w:r>
        <w:rPr>
          <w:rFonts w:ascii="宋体" w:hAnsi="宋体" w:eastAsia="宋体" w:cs="TimesNewRomanPSMT"/>
          <w:color w:val="000000"/>
          <w:kern w:val="0"/>
          <w:szCs w:val="21"/>
        </w:rPr>
        <w:t xml:space="preserve">   1.教学目标：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了解怀疑论</w:t>
      </w:r>
    </w:p>
    <w:p w14:paraId="326451A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2.教学重难点：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理论怀疑论；对怀疑论的批判</w:t>
      </w:r>
    </w:p>
    <w:p w14:paraId="4D9E3D21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 xml:space="preserve">3.教学内容： 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了解各种怀疑论；了解对几种怀疑论的批判</w:t>
      </w:r>
    </w:p>
    <w:p w14:paraId="4A9BE85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4.教学方法： 讲授和讨论</w:t>
      </w:r>
    </w:p>
    <w:p w14:paraId="5A2C304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5.教学评价：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提问和举例</w:t>
      </w:r>
    </w:p>
    <w:p w14:paraId="5D62BBDC">
      <w:pPr>
        <w:widowControl/>
        <w:spacing w:before="156" w:beforeLines="50" w:after="156" w:afterLines="50"/>
        <w:ind w:firstLine="482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第八章 The problem of the criterion</w:t>
      </w:r>
    </w:p>
    <w:p w14:paraId="2FCDC482">
      <w:pPr>
        <w:widowControl/>
        <w:spacing w:before="156" w:beforeLines="50" w:after="156" w:afterLines="5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</w:t>
      </w:r>
      <w:r>
        <w:rPr>
          <w:rFonts w:ascii="宋体" w:hAnsi="宋体" w:eastAsia="宋体" w:cs="TimesNewRomanPSMT"/>
          <w:color w:val="000000"/>
          <w:kern w:val="0"/>
          <w:szCs w:val="21"/>
        </w:rPr>
        <w:t xml:space="preserve">   1.教学目标：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了解标准问题</w:t>
      </w:r>
    </w:p>
    <w:p w14:paraId="03F8840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2.教学重难点：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知识的标准问题；新进展</w:t>
      </w:r>
    </w:p>
    <w:p w14:paraId="6FEE8B8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 xml:space="preserve">3.教学内容： 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了解对知识的标准问题的研究进展</w:t>
      </w:r>
    </w:p>
    <w:p w14:paraId="2D6B018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4.教学方法： 讲授和讨论</w:t>
      </w:r>
    </w:p>
    <w:p w14:paraId="7D27337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5.教学评价：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提问和举例</w:t>
      </w:r>
    </w:p>
    <w:p w14:paraId="7DFD35B6">
      <w:pPr>
        <w:widowControl/>
        <w:spacing w:before="156" w:beforeLines="50" w:after="156" w:afterLines="50"/>
        <w:ind w:firstLine="482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九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宋体" w:hAnsi="宋体" w:eastAsia="宋体"/>
          <w:lang w:val="en-US" w:eastAsia="zh-CN"/>
        </w:rPr>
        <w:t>Bayesian epistemology</w:t>
      </w:r>
    </w:p>
    <w:p w14:paraId="64646066">
      <w:pPr>
        <w:widowControl/>
        <w:spacing w:before="156" w:beforeLines="50" w:after="156" w:afterLines="5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</w:t>
      </w:r>
      <w:r>
        <w:rPr>
          <w:rFonts w:ascii="宋体" w:hAnsi="宋体" w:eastAsia="宋体" w:cs="TimesNewRomanPSMT"/>
          <w:color w:val="000000"/>
          <w:kern w:val="0"/>
          <w:szCs w:val="21"/>
        </w:rPr>
        <w:t xml:space="preserve">   1.教学目标：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了解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贝叶斯认识论基础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问题</w:t>
      </w:r>
    </w:p>
    <w:p w14:paraId="47C651B4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2.教学重难点：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置信度的归纳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；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贝叶斯形式体系</w:t>
      </w:r>
    </w:p>
    <w:p w14:paraId="4325612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 xml:space="preserve">3.教学内容： 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了解对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贝叶斯认识论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的研究进展</w:t>
      </w:r>
    </w:p>
    <w:p w14:paraId="0C4AE871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4.教学方法： 讲授和讨论</w:t>
      </w:r>
    </w:p>
    <w:p w14:paraId="0D36CD8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5.教学评价：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提问和举例</w:t>
      </w:r>
    </w:p>
    <w:p w14:paraId="5F3511B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</w:p>
    <w:bookmarkEnd w:id="2"/>
    <w:p w14:paraId="6309E2C7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 w14:paraId="0D4DD6FF"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202DC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E3D9AE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2765" w:type="dxa"/>
            <w:vAlign w:val="center"/>
          </w:tcPr>
          <w:p w14:paraId="1C6D48F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2795280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 w14:paraId="65658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1766FC3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第一章</w:t>
            </w:r>
          </w:p>
        </w:tc>
        <w:tc>
          <w:tcPr>
            <w:tcW w:w="2765" w:type="dxa"/>
          </w:tcPr>
          <w:p w14:paraId="64E684B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t>1 Knowledge, truth, and justification</w:t>
            </w:r>
          </w:p>
        </w:tc>
        <w:tc>
          <w:tcPr>
            <w:tcW w:w="2766" w:type="dxa"/>
            <w:vAlign w:val="center"/>
          </w:tcPr>
          <w:p w14:paraId="7A7E96A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4学时</w:t>
            </w:r>
          </w:p>
        </w:tc>
      </w:tr>
      <w:tr w14:paraId="5F82C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40A7AB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第二章</w:t>
            </w:r>
          </w:p>
        </w:tc>
        <w:tc>
          <w:tcPr>
            <w:tcW w:w="2765" w:type="dxa"/>
          </w:tcPr>
          <w:p w14:paraId="211228C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t>2 The traditional analysis and the Gettier problem</w:t>
            </w:r>
          </w:p>
        </w:tc>
        <w:tc>
          <w:tcPr>
            <w:tcW w:w="2766" w:type="dxa"/>
            <w:vAlign w:val="center"/>
          </w:tcPr>
          <w:p w14:paraId="50B2340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  <w:r>
              <w:rPr>
                <w:rFonts w:ascii="宋体" w:hAnsi="宋体" w:eastAsia="宋体"/>
              </w:rPr>
              <w:t>学时</w:t>
            </w:r>
          </w:p>
        </w:tc>
      </w:tr>
      <w:tr w14:paraId="194EE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3741C74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第三章</w:t>
            </w:r>
          </w:p>
        </w:tc>
        <w:tc>
          <w:tcPr>
            <w:tcW w:w="2765" w:type="dxa"/>
          </w:tcPr>
          <w:p w14:paraId="7186FB3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 Foundationalism</w:t>
            </w:r>
          </w:p>
        </w:tc>
        <w:tc>
          <w:tcPr>
            <w:tcW w:w="2766" w:type="dxa"/>
            <w:vAlign w:val="center"/>
          </w:tcPr>
          <w:p w14:paraId="6260093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  <w:r>
              <w:rPr>
                <w:rFonts w:ascii="宋体" w:hAnsi="宋体" w:eastAsia="宋体"/>
              </w:rPr>
              <w:t>学时</w:t>
            </w:r>
          </w:p>
        </w:tc>
      </w:tr>
      <w:tr w14:paraId="2781D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24E0F8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第四章</w:t>
            </w:r>
          </w:p>
        </w:tc>
        <w:tc>
          <w:tcPr>
            <w:tcW w:w="2765" w:type="dxa"/>
          </w:tcPr>
          <w:p w14:paraId="07B590E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ascii="宋体" w:hAnsi="宋体" w:eastAsia="宋体"/>
                <w:bCs/>
              </w:rPr>
              <w:t>4 The coherence theory of justification</w:t>
            </w:r>
          </w:p>
        </w:tc>
        <w:tc>
          <w:tcPr>
            <w:tcW w:w="2766" w:type="dxa"/>
            <w:vAlign w:val="center"/>
          </w:tcPr>
          <w:p w14:paraId="5B85650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  <w:r>
              <w:rPr>
                <w:rFonts w:ascii="宋体" w:hAnsi="宋体" w:eastAsia="宋体"/>
              </w:rPr>
              <w:t>学时</w:t>
            </w:r>
          </w:p>
        </w:tc>
      </w:tr>
      <w:tr w14:paraId="611F7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3B15F2F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第五章</w:t>
            </w:r>
          </w:p>
        </w:tc>
        <w:tc>
          <w:tcPr>
            <w:tcW w:w="2765" w:type="dxa"/>
          </w:tcPr>
          <w:p w14:paraId="5417673E">
            <w:pPr>
              <w:widowControl/>
              <w:spacing w:before="156" w:beforeLines="50" w:after="156" w:afterLines="50"/>
              <w:ind w:firstLine="210" w:firstLineChars="100"/>
              <w:rPr>
                <w:rFonts w:ascii="宋体" w:hAnsi="宋体" w:eastAsia="宋体"/>
                <w:bCs/>
              </w:rPr>
            </w:pPr>
            <w:r>
              <w:rPr>
                <w:bCs/>
              </w:rPr>
              <w:t xml:space="preserve">5 </w:t>
            </w:r>
            <w:r>
              <w:rPr>
                <w:rFonts w:hint="eastAsia"/>
                <w:bCs/>
              </w:rPr>
              <w:t>Reliabilism and virtue epistemology</w:t>
            </w:r>
          </w:p>
        </w:tc>
        <w:tc>
          <w:tcPr>
            <w:tcW w:w="2766" w:type="dxa"/>
            <w:vAlign w:val="center"/>
          </w:tcPr>
          <w:p w14:paraId="20E08A1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  <w:r>
              <w:rPr>
                <w:rFonts w:ascii="宋体" w:hAnsi="宋体" w:eastAsia="宋体"/>
              </w:rPr>
              <w:t>学时</w:t>
            </w:r>
          </w:p>
        </w:tc>
      </w:tr>
      <w:tr w14:paraId="78C8A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101ED18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第六章</w:t>
            </w:r>
          </w:p>
        </w:tc>
        <w:tc>
          <w:tcPr>
            <w:tcW w:w="2765" w:type="dxa"/>
          </w:tcPr>
          <w:p w14:paraId="0959C23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 xml:space="preserve"> Internalism, externalism, and epistemic circularity</w:t>
            </w:r>
          </w:p>
        </w:tc>
        <w:tc>
          <w:tcPr>
            <w:tcW w:w="2766" w:type="dxa"/>
            <w:vAlign w:val="center"/>
          </w:tcPr>
          <w:p w14:paraId="537CE0C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  <w:r>
              <w:rPr>
                <w:rFonts w:ascii="宋体" w:hAnsi="宋体" w:eastAsia="宋体"/>
              </w:rPr>
              <w:t>学时</w:t>
            </w:r>
          </w:p>
        </w:tc>
      </w:tr>
      <w:tr w14:paraId="6C711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566474C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第七章</w:t>
            </w:r>
          </w:p>
        </w:tc>
        <w:tc>
          <w:tcPr>
            <w:tcW w:w="2765" w:type="dxa"/>
          </w:tcPr>
          <w:p w14:paraId="66E019E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7</w:t>
            </w:r>
            <w:r>
              <w:rPr>
                <w:rFonts w:ascii="宋体" w:hAnsi="宋体" w:eastAsia="宋体"/>
                <w:bCs/>
              </w:rPr>
              <w:t xml:space="preserve"> </w:t>
            </w:r>
            <w:r>
              <w:rPr>
                <w:rFonts w:hint="eastAsia" w:ascii="宋体" w:hAnsi="宋体" w:eastAsia="宋体"/>
                <w:bCs/>
              </w:rPr>
              <w:t>Skepticism</w:t>
            </w:r>
          </w:p>
        </w:tc>
        <w:tc>
          <w:tcPr>
            <w:tcW w:w="2766" w:type="dxa"/>
            <w:vAlign w:val="center"/>
          </w:tcPr>
          <w:p w14:paraId="3E4EB48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  <w:r>
              <w:rPr>
                <w:rFonts w:ascii="宋体" w:hAnsi="宋体" w:eastAsia="宋体"/>
              </w:rPr>
              <w:t>学时</w:t>
            </w:r>
          </w:p>
        </w:tc>
      </w:tr>
      <w:tr w14:paraId="5382A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4877AD0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第八章</w:t>
            </w:r>
          </w:p>
        </w:tc>
        <w:tc>
          <w:tcPr>
            <w:tcW w:w="2765" w:type="dxa"/>
          </w:tcPr>
          <w:p w14:paraId="3D4A2CBA">
            <w:pPr>
              <w:widowControl/>
              <w:spacing w:before="156" w:beforeLines="50" w:after="156" w:afterLines="50"/>
              <w:jc w:val="center"/>
              <w:rPr>
                <w:bCs/>
              </w:rPr>
            </w:pPr>
            <w:r>
              <w:rPr>
                <w:bCs/>
              </w:rPr>
              <w:t xml:space="preserve">8  </w:t>
            </w:r>
            <w:r>
              <w:rPr>
                <w:rFonts w:hint="eastAsia"/>
                <w:bCs/>
              </w:rPr>
              <w:t>The problem of the criterion</w:t>
            </w:r>
          </w:p>
          <w:p w14:paraId="3235294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Cs/>
              </w:rPr>
            </w:pPr>
          </w:p>
        </w:tc>
        <w:tc>
          <w:tcPr>
            <w:tcW w:w="2766" w:type="dxa"/>
            <w:vAlign w:val="center"/>
          </w:tcPr>
          <w:p w14:paraId="3C7E475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  <w:r>
              <w:rPr>
                <w:rFonts w:ascii="宋体" w:hAnsi="宋体" w:eastAsia="宋体"/>
              </w:rPr>
              <w:t>学时</w:t>
            </w:r>
          </w:p>
        </w:tc>
      </w:tr>
      <w:tr w14:paraId="14CF0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45E10D84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第九章</w:t>
            </w:r>
          </w:p>
        </w:tc>
        <w:tc>
          <w:tcPr>
            <w:tcW w:w="2765" w:type="dxa"/>
            <w:vAlign w:val="center"/>
          </w:tcPr>
          <w:p w14:paraId="65D05A7E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9 Bayesian epistemology</w:t>
            </w:r>
          </w:p>
        </w:tc>
        <w:tc>
          <w:tcPr>
            <w:tcW w:w="2766" w:type="dxa"/>
            <w:vAlign w:val="center"/>
          </w:tcPr>
          <w:p w14:paraId="052C6FF0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4学时</w:t>
            </w:r>
          </w:p>
        </w:tc>
      </w:tr>
    </w:tbl>
    <w:p w14:paraId="664D58C0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 w14:paraId="4052BDF4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876"/>
        <w:gridCol w:w="1791"/>
        <w:gridCol w:w="1036"/>
        <w:gridCol w:w="1065"/>
        <w:gridCol w:w="1239"/>
        <w:gridCol w:w="833"/>
      </w:tblGrid>
      <w:tr w14:paraId="482E1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6" w:type="dxa"/>
            <w:vAlign w:val="center"/>
          </w:tcPr>
          <w:p w14:paraId="414E0B50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876" w:type="dxa"/>
            <w:vAlign w:val="center"/>
          </w:tcPr>
          <w:p w14:paraId="6A14D573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791" w:type="dxa"/>
            <w:vAlign w:val="center"/>
          </w:tcPr>
          <w:p w14:paraId="3C4D915E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1036" w:type="dxa"/>
            <w:vAlign w:val="center"/>
          </w:tcPr>
          <w:p w14:paraId="06CE8EE8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1065" w:type="dxa"/>
            <w:vAlign w:val="center"/>
          </w:tcPr>
          <w:p w14:paraId="3D4CFFE5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1239" w:type="dxa"/>
            <w:vAlign w:val="center"/>
          </w:tcPr>
          <w:p w14:paraId="4E01D513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833" w:type="dxa"/>
            <w:vAlign w:val="center"/>
          </w:tcPr>
          <w:p w14:paraId="37580E6C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 w14:paraId="038D1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6" w:type="dxa"/>
            <w:vAlign w:val="center"/>
          </w:tcPr>
          <w:p w14:paraId="2BC9F4D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876" w:type="dxa"/>
          </w:tcPr>
          <w:p w14:paraId="7DC1CFE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t>3.9</w:t>
            </w:r>
          </w:p>
        </w:tc>
        <w:tc>
          <w:tcPr>
            <w:tcW w:w="1791" w:type="dxa"/>
          </w:tcPr>
          <w:p w14:paraId="0F52239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黑体" w:eastAsia="黑体"/>
              </w:rPr>
              <w:t>1 Knowledge, truth, and justification</w:t>
            </w:r>
          </w:p>
        </w:tc>
        <w:tc>
          <w:tcPr>
            <w:tcW w:w="1036" w:type="dxa"/>
          </w:tcPr>
          <w:p w14:paraId="5D2D358B">
            <w:pPr>
              <w:rPr>
                <w:rFonts w:hint="eastAsia" w:ascii="宋体" w:hAnsi="宋体"/>
              </w:rPr>
            </w:pPr>
            <w:r>
              <w:rPr>
                <w:rFonts w:hint="eastAsia" w:ascii="黑体" w:eastAsia="黑体"/>
              </w:rPr>
              <w:t>知道知识论的主要问题和知识分类。</w:t>
            </w:r>
          </w:p>
        </w:tc>
        <w:tc>
          <w:tcPr>
            <w:tcW w:w="1065" w:type="dxa"/>
          </w:tcPr>
          <w:p w14:paraId="2A6C0AD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>第一节 1课时第二节 1课时</w:t>
            </w:r>
          </w:p>
        </w:tc>
        <w:tc>
          <w:tcPr>
            <w:tcW w:w="1239" w:type="dxa"/>
            <w:vAlign w:val="center"/>
          </w:tcPr>
          <w:p w14:paraId="0DE8787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阅读相关文献</w:t>
            </w:r>
          </w:p>
        </w:tc>
        <w:tc>
          <w:tcPr>
            <w:tcW w:w="833" w:type="dxa"/>
            <w:vAlign w:val="center"/>
          </w:tcPr>
          <w:p w14:paraId="2A61C34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451C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6" w:type="dxa"/>
            <w:vAlign w:val="center"/>
          </w:tcPr>
          <w:p w14:paraId="56130E5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  <w:tc>
          <w:tcPr>
            <w:tcW w:w="876" w:type="dxa"/>
          </w:tcPr>
          <w:p w14:paraId="34199A4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t>3.16</w:t>
            </w:r>
          </w:p>
        </w:tc>
        <w:tc>
          <w:tcPr>
            <w:tcW w:w="1791" w:type="dxa"/>
          </w:tcPr>
          <w:p w14:paraId="5540C05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黑体" w:eastAsia="黑体"/>
              </w:rPr>
              <w:t>1 Knowledge, truth, and justification</w:t>
            </w:r>
          </w:p>
        </w:tc>
        <w:tc>
          <w:tcPr>
            <w:tcW w:w="1036" w:type="dxa"/>
          </w:tcPr>
          <w:p w14:paraId="301F403E">
            <w:pPr>
              <w:rPr>
                <w:rFonts w:hint="eastAsia" w:ascii="黑体" w:hAnsi="宋体" w:eastAsia="黑体"/>
              </w:rPr>
            </w:pPr>
            <w:r>
              <w:rPr>
                <w:rFonts w:hint="eastAsia" w:ascii="黑体" w:hAnsi="宋体" w:eastAsia="黑体"/>
              </w:rPr>
              <w:t xml:space="preserve"> 掌握</w:t>
            </w:r>
            <w:r>
              <w:rPr>
                <w:rFonts w:ascii="黑体" w:hAnsi="宋体" w:eastAsia="黑体"/>
              </w:rPr>
              <w:t>JTF</w:t>
            </w:r>
            <w:r>
              <w:rPr>
                <w:rFonts w:hint="eastAsia" w:ascii="黑体" w:hAnsi="宋体" w:eastAsia="黑体"/>
              </w:rPr>
              <w:t>的标准分析的知识定义，以及信念、真理、辩护的准确意义。</w:t>
            </w:r>
          </w:p>
        </w:tc>
        <w:tc>
          <w:tcPr>
            <w:tcW w:w="1065" w:type="dxa"/>
          </w:tcPr>
          <w:p w14:paraId="39F0495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>第三节共2课时</w:t>
            </w:r>
          </w:p>
        </w:tc>
        <w:tc>
          <w:tcPr>
            <w:tcW w:w="1239" w:type="dxa"/>
            <w:vAlign w:val="center"/>
          </w:tcPr>
          <w:p w14:paraId="5239642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阅读相关文献</w:t>
            </w:r>
          </w:p>
        </w:tc>
        <w:tc>
          <w:tcPr>
            <w:tcW w:w="833" w:type="dxa"/>
            <w:vAlign w:val="center"/>
          </w:tcPr>
          <w:p w14:paraId="7EC3B05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DAE2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6" w:type="dxa"/>
            <w:vAlign w:val="center"/>
          </w:tcPr>
          <w:p w14:paraId="3F47F57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876" w:type="dxa"/>
          </w:tcPr>
          <w:p w14:paraId="46A1B1B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t>3.23</w:t>
            </w:r>
          </w:p>
        </w:tc>
        <w:tc>
          <w:tcPr>
            <w:tcW w:w="1791" w:type="dxa"/>
          </w:tcPr>
          <w:p w14:paraId="26DDEDEA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 The traditional analysis and the Gettier problem</w:t>
            </w:r>
          </w:p>
          <w:p w14:paraId="442CD77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36" w:type="dxa"/>
          </w:tcPr>
          <w:p w14:paraId="1CBBEC99">
            <w:r>
              <w:rPr>
                <w:rFonts w:hint="eastAsia" w:ascii="黑体" w:hAnsi="宋体" w:eastAsia="黑体"/>
              </w:rPr>
              <w:t xml:space="preserve"> </w:t>
            </w:r>
            <w:r>
              <w:rPr>
                <w:rFonts w:hint="eastAsia" w:eastAsia="黑体"/>
              </w:rPr>
              <w:t xml:space="preserve"> </w:t>
            </w:r>
          </w:p>
          <w:p w14:paraId="707063BA">
            <w:pPr>
              <w:rPr>
                <w:rFonts w:ascii="黑体" w:hAnsi="宋体" w:eastAsia="黑体"/>
              </w:rPr>
            </w:pPr>
            <w:r>
              <w:rPr>
                <w:rFonts w:hint="eastAsia" w:ascii="黑体" w:eastAsia="黑体"/>
              </w:rPr>
              <w:t xml:space="preserve"> 掌握Gettier问题及其后果.</w:t>
            </w:r>
            <w:r>
              <w:rPr>
                <w:rFonts w:hint="eastAsia" w:ascii="黑体" w:hAnsi="宋体" w:eastAsia="黑体"/>
              </w:rPr>
              <w:t xml:space="preserve"> </w:t>
            </w:r>
          </w:p>
          <w:p w14:paraId="0752930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65" w:type="dxa"/>
          </w:tcPr>
          <w:p w14:paraId="49A2EAC2">
            <w:r>
              <w:rPr>
                <w:rFonts w:hint="eastAsia"/>
              </w:rPr>
              <w:t xml:space="preserve"> </w:t>
            </w:r>
          </w:p>
          <w:p w14:paraId="05DE254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>第一节共2课时</w:t>
            </w:r>
          </w:p>
        </w:tc>
        <w:tc>
          <w:tcPr>
            <w:tcW w:w="1239" w:type="dxa"/>
            <w:vAlign w:val="center"/>
          </w:tcPr>
          <w:p w14:paraId="3648795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阅读相关文献</w:t>
            </w:r>
          </w:p>
        </w:tc>
        <w:tc>
          <w:tcPr>
            <w:tcW w:w="833" w:type="dxa"/>
            <w:vAlign w:val="center"/>
          </w:tcPr>
          <w:p w14:paraId="1564F8E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5265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6" w:type="dxa"/>
            <w:vAlign w:val="center"/>
          </w:tcPr>
          <w:p w14:paraId="7E08276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</w:t>
            </w:r>
          </w:p>
        </w:tc>
        <w:tc>
          <w:tcPr>
            <w:tcW w:w="876" w:type="dxa"/>
          </w:tcPr>
          <w:p w14:paraId="19DDB27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t>3.30</w:t>
            </w:r>
          </w:p>
        </w:tc>
        <w:tc>
          <w:tcPr>
            <w:tcW w:w="1791" w:type="dxa"/>
          </w:tcPr>
          <w:p w14:paraId="6914D48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黑体" w:eastAsia="黑体"/>
              </w:rPr>
              <w:t>2 The traditional analysis and the Gettier problem</w:t>
            </w:r>
          </w:p>
        </w:tc>
        <w:tc>
          <w:tcPr>
            <w:tcW w:w="1036" w:type="dxa"/>
          </w:tcPr>
          <w:p w14:paraId="22AEBA1D">
            <w:r>
              <w:rPr>
                <w:rFonts w:hint="eastAsia" w:ascii="黑体" w:hAnsi="宋体" w:eastAsia="黑体"/>
              </w:rPr>
              <w:t>理解</w:t>
            </w:r>
            <w:r>
              <w:rPr>
                <w:rFonts w:hint="eastAsia" w:ascii="黑体" w:eastAsia="黑体"/>
              </w:rPr>
              <w:t>对Gettier问题的批判</w:t>
            </w:r>
          </w:p>
          <w:p w14:paraId="5F2B041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eastAsia="黑体"/>
              </w:rPr>
              <w:t xml:space="preserve"> </w:t>
            </w:r>
          </w:p>
        </w:tc>
        <w:tc>
          <w:tcPr>
            <w:tcW w:w="1065" w:type="dxa"/>
          </w:tcPr>
          <w:p w14:paraId="4148C44F">
            <w:r>
              <w:rPr>
                <w:rFonts w:hint="eastAsia"/>
              </w:rPr>
              <w:t>第二节1课时</w:t>
            </w:r>
          </w:p>
          <w:p w14:paraId="104871D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>第三节1课时</w:t>
            </w:r>
          </w:p>
        </w:tc>
        <w:tc>
          <w:tcPr>
            <w:tcW w:w="1239" w:type="dxa"/>
            <w:vAlign w:val="center"/>
          </w:tcPr>
          <w:p w14:paraId="4643571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阅读相关文献</w:t>
            </w:r>
          </w:p>
        </w:tc>
        <w:tc>
          <w:tcPr>
            <w:tcW w:w="833" w:type="dxa"/>
            <w:vAlign w:val="center"/>
          </w:tcPr>
          <w:p w14:paraId="2071B48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1B36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6" w:type="dxa"/>
            <w:vAlign w:val="center"/>
          </w:tcPr>
          <w:p w14:paraId="6B1D598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5</w:t>
            </w:r>
          </w:p>
        </w:tc>
        <w:tc>
          <w:tcPr>
            <w:tcW w:w="876" w:type="dxa"/>
          </w:tcPr>
          <w:p w14:paraId="60013B2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t>4.6</w:t>
            </w:r>
          </w:p>
        </w:tc>
        <w:tc>
          <w:tcPr>
            <w:tcW w:w="1791" w:type="dxa"/>
          </w:tcPr>
          <w:p w14:paraId="2A474B9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黑体" w:hAnsi="宋体" w:eastAsia="黑体"/>
              </w:rPr>
              <w:t>国庆放假</w:t>
            </w:r>
            <w:r>
              <w:rPr>
                <w:rFonts w:ascii="黑体" w:hAnsi="宋体" w:eastAsia="黑体"/>
              </w:rPr>
              <w:t xml:space="preserve"> </w:t>
            </w:r>
          </w:p>
        </w:tc>
        <w:tc>
          <w:tcPr>
            <w:tcW w:w="1036" w:type="dxa"/>
          </w:tcPr>
          <w:p w14:paraId="7D3474F5">
            <w:r>
              <w:rPr>
                <w:rFonts w:hint="eastAsia" w:ascii="黑体" w:hAnsi="宋体" w:eastAsia="黑体"/>
              </w:rPr>
              <w:t xml:space="preserve"> </w:t>
            </w:r>
            <w:r>
              <w:rPr>
                <w:rFonts w:hint="eastAsia" w:eastAsia="黑体"/>
              </w:rPr>
              <w:t xml:space="preserve"> </w:t>
            </w:r>
          </w:p>
          <w:p w14:paraId="0C2AD1F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65" w:type="dxa"/>
          </w:tcPr>
          <w:p w14:paraId="61C4E35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595263C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33" w:type="dxa"/>
            <w:vAlign w:val="center"/>
          </w:tcPr>
          <w:p w14:paraId="48CBE8E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0842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6" w:type="dxa"/>
            <w:vAlign w:val="center"/>
          </w:tcPr>
          <w:p w14:paraId="60F407C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876" w:type="dxa"/>
          </w:tcPr>
          <w:p w14:paraId="0CDC0DC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t>4.13</w:t>
            </w:r>
          </w:p>
        </w:tc>
        <w:tc>
          <w:tcPr>
            <w:tcW w:w="1791" w:type="dxa"/>
          </w:tcPr>
          <w:p w14:paraId="710A528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t>3 Foundationalism</w:t>
            </w:r>
          </w:p>
        </w:tc>
        <w:tc>
          <w:tcPr>
            <w:tcW w:w="1036" w:type="dxa"/>
          </w:tcPr>
          <w:p w14:paraId="340C015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>理解知识论的基础主义含义和类型。</w:t>
            </w:r>
          </w:p>
        </w:tc>
        <w:tc>
          <w:tcPr>
            <w:tcW w:w="1065" w:type="dxa"/>
          </w:tcPr>
          <w:p w14:paraId="4B9B745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>第一至三节共2课时</w:t>
            </w:r>
          </w:p>
        </w:tc>
        <w:tc>
          <w:tcPr>
            <w:tcW w:w="1239" w:type="dxa"/>
            <w:vAlign w:val="center"/>
          </w:tcPr>
          <w:p w14:paraId="25CB075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阅读相关文献</w:t>
            </w:r>
          </w:p>
        </w:tc>
        <w:tc>
          <w:tcPr>
            <w:tcW w:w="833" w:type="dxa"/>
            <w:vAlign w:val="center"/>
          </w:tcPr>
          <w:p w14:paraId="78E6923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C8B0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6" w:type="dxa"/>
            <w:vAlign w:val="center"/>
          </w:tcPr>
          <w:p w14:paraId="5E180CF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7</w:t>
            </w:r>
          </w:p>
        </w:tc>
        <w:tc>
          <w:tcPr>
            <w:tcW w:w="876" w:type="dxa"/>
          </w:tcPr>
          <w:p w14:paraId="5BB5EE6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t>4.20</w:t>
            </w:r>
          </w:p>
        </w:tc>
        <w:tc>
          <w:tcPr>
            <w:tcW w:w="1791" w:type="dxa"/>
          </w:tcPr>
          <w:p w14:paraId="6D88496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黑体" w:eastAsia="黑体"/>
              </w:rPr>
              <w:t>3 Foundationalism</w:t>
            </w:r>
            <w:r>
              <w:rPr>
                <w:rFonts w:hint="eastAsia" w:eastAsia="黑体"/>
              </w:rPr>
              <w:t xml:space="preserve"> </w:t>
            </w:r>
          </w:p>
        </w:tc>
        <w:tc>
          <w:tcPr>
            <w:tcW w:w="1036" w:type="dxa"/>
          </w:tcPr>
          <w:p w14:paraId="72DBFE15">
            <w:r>
              <w:rPr>
                <w:rFonts w:hint="eastAsia" w:ascii="黑体" w:hAnsi="宋体" w:eastAsia="黑体"/>
              </w:rPr>
              <w:t xml:space="preserve"> </w:t>
            </w:r>
            <w:r>
              <w:rPr>
                <w:rFonts w:hint="eastAsia" w:ascii="黑体" w:eastAsia="黑体"/>
              </w:rPr>
              <w:t xml:space="preserve"> </w:t>
            </w:r>
          </w:p>
          <w:p w14:paraId="2075AA2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>了解对基础主义的辩护和批判。</w:t>
            </w:r>
          </w:p>
        </w:tc>
        <w:tc>
          <w:tcPr>
            <w:tcW w:w="1065" w:type="dxa"/>
          </w:tcPr>
          <w:p w14:paraId="1D44B2E5">
            <w:r>
              <w:rPr>
                <w:rFonts w:hint="eastAsia"/>
              </w:rPr>
              <w:t>第四节1课时</w:t>
            </w:r>
          </w:p>
          <w:p w14:paraId="6F8FC0A6">
            <w:r>
              <w:rPr>
                <w:rFonts w:hint="eastAsia"/>
              </w:rPr>
              <w:t xml:space="preserve">第五节1课时 </w:t>
            </w:r>
          </w:p>
          <w:p w14:paraId="5D0E303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045CFD8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阅读相关文献</w:t>
            </w:r>
          </w:p>
        </w:tc>
        <w:tc>
          <w:tcPr>
            <w:tcW w:w="833" w:type="dxa"/>
            <w:vAlign w:val="center"/>
          </w:tcPr>
          <w:p w14:paraId="7E7729C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FAEB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6" w:type="dxa"/>
            <w:vAlign w:val="center"/>
          </w:tcPr>
          <w:p w14:paraId="3C97D46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8</w:t>
            </w:r>
          </w:p>
        </w:tc>
        <w:tc>
          <w:tcPr>
            <w:tcW w:w="876" w:type="dxa"/>
          </w:tcPr>
          <w:p w14:paraId="27BB6A3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t>4.27</w:t>
            </w:r>
          </w:p>
        </w:tc>
        <w:tc>
          <w:tcPr>
            <w:tcW w:w="1791" w:type="dxa"/>
          </w:tcPr>
          <w:p w14:paraId="5BE6F68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黑体" w:eastAsia="黑体"/>
              </w:rPr>
              <w:t>4 The coherence theory of justification</w:t>
            </w:r>
            <w:r>
              <w:rPr>
                <w:rFonts w:hint="eastAsia" w:ascii="黑体" w:eastAsia="黑体"/>
              </w:rPr>
              <w:t xml:space="preserve"> </w:t>
            </w:r>
          </w:p>
        </w:tc>
        <w:tc>
          <w:tcPr>
            <w:tcW w:w="1036" w:type="dxa"/>
          </w:tcPr>
          <w:p w14:paraId="468B9EF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eastAsia="黑体"/>
              </w:rPr>
              <w:t>理解知识论的融贯主义含义和批判。</w:t>
            </w:r>
          </w:p>
        </w:tc>
        <w:tc>
          <w:tcPr>
            <w:tcW w:w="1065" w:type="dxa"/>
          </w:tcPr>
          <w:p w14:paraId="0C31360C">
            <w:r>
              <w:rPr>
                <w:rFonts w:hint="eastAsia"/>
              </w:rPr>
              <w:t>第一节1课时</w:t>
            </w:r>
          </w:p>
          <w:p w14:paraId="56F32D6B">
            <w:r>
              <w:rPr>
                <w:rFonts w:hint="eastAsia"/>
              </w:rPr>
              <w:t xml:space="preserve">第二节1课时 </w:t>
            </w:r>
          </w:p>
          <w:p w14:paraId="755F078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59AFD78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阅读相关文献</w:t>
            </w:r>
          </w:p>
        </w:tc>
        <w:tc>
          <w:tcPr>
            <w:tcW w:w="833" w:type="dxa"/>
            <w:vAlign w:val="center"/>
          </w:tcPr>
          <w:p w14:paraId="49EC0CA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EE3C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6" w:type="dxa"/>
            <w:vAlign w:val="center"/>
          </w:tcPr>
          <w:p w14:paraId="41A0220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9</w:t>
            </w:r>
          </w:p>
        </w:tc>
        <w:tc>
          <w:tcPr>
            <w:tcW w:w="876" w:type="dxa"/>
          </w:tcPr>
          <w:p w14:paraId="3747277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t>5.4</w:t>
            </w:r>
          </w:p>
        </w:tc>
        <w:tc>
          <w:tcPr>
            <w:tcW w:w="1791" w:type="dxa"/>
          </w:tcPr>
          <w:p w14:paraId="3FC1B26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黑体" w:eastAsia="黑体"/>
              </w:rPr>
              <w:t>5 Reliabilism and virtue epistemology</w:t>
            </w:r>
          </w:p>
        </w:tc>
        <w:tc>
          <w:tcPr>
            <w:tcW w:w="1036" w:type="dxa"/>
          </w:tcPr>
          <w:p w14:paraId="148E7713">
            <w:r>
              <w:rPr>
                <w:rFonts w:hint="eastAsia" w:ascii="宋体" w:hAnsi="宋体" w:eastAsia="黑体"/>
              </w:rPr>
              <w:t xml:space="preserve"> </w:t>
            </w:r>
            <w:r>
              <w:rPr>
                <w:rFonts w:hint="eastAsia" w:eastAsia="黑体"/>
              </w:rPr>
              <w:t xml:space="preserve"> </w:t>
            </w:r>
          </w:p>
          <w:p w14:paraId="04E71AA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黑体" w:eastAsia="黑体"/>
              </w:rPr>
              <w:t xml:space="preserve"> 掌握可靠主义的理论意义</w:t>
            </w:r>
            <w:r>
              <w:rPr>
                <w:rFonts w:hint="eastAsia"/>
              </w:rPr>
              <w:t>。</w:t>
            </w:r>
          </w:p>
        </w:tc>
        <w:tc>
          <w:tcPr>
            <w:tcW w:w="1065" w:type="dxa"/>
          </w:tcPr>
          <w:p w14:paraId="30F53ED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>第一、二节共2课时</w:t>
            </w:r>
          </w:p>
        </w:tc>
        <w:tc>
          <w:tcPr>
            <w:tcW w:w="1239" w:type="dxa"/>
            <w:vAlign w:val="center"/>
          </w:tcPr>
          <w:p w14:paraId="4B78D2B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阅读相关文献</w:t>
            </w:r>
          </w:p>
        </w:tc>
        <w:tc>
          <w:tcPr>
            <w:tcW w:w="833" w:type="dxa"/>
            <w:vAlign w:val="center"/>
          </w:tcPr>
          <w:p w14:paraId="75378B3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C1E2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6" w:type="dxa"/>
            <w:vAlign w:val="center"/>
          </w:tcPr>
          <w:p w14:paraId="526954F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0</w:t>
            </w:r>
          </w:p>
        </w:tc>
        <w:tc>
          <w:tcPr>
            <w:tcW w:w="876" w:type="dxa"/>
          </w:tcPr>
          <w:p w14:paraId="2DEE3AC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t>5.11</w:t>
            </w:r>
          </w:p>
        </w:tc>
        <w:tc>
          <w:tcPr>
            <w:tcW w:w="1791" w:type="dxa"/>
          </w:tcPr>
          <w:p w14:paraId="275218C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t>5 Reliabilism and virtue epistemology</w:t>
            </w:r>
          </w:p>
        </w:tc>
        <w:tc>
          <w:tcPr>
            <w:tcW w:w="1036" w:type="dxa"/>
          </w:tcPr>
          <w:p w14:paraId="138E138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>掌握德性知识论的意义。</w:t>
            </w:r>
          </w:p>
        </w:tc>
        <w:tc>
          <w:tcPr>
            <w:tcW w:w="1065" w:type="dxa"/>
          </w:tcPr>
          <w:p w14:paraId="4C906F4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>第三节共2课时</w:t>
            </w:r>
          </w:p>
        </w:tc>
        <w:tc>
          <w:tcPr>
            <w:tcW w:w="1239" w:type="dxa"/>
            <w:vAlign w:val="center"/>
          </w:tcPr>
          <w:p w14:paraId="5C09979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阅读相关文献</w:t>
            </w:r>
          </w:p>
        </w:tc>
        <w:tc>
          <w:tcPr>
            <w:tcW w:w="833" w:type="dxa"/>
            <w:vAlign w:val="center"/>
          </w:tcPr>
          <w:p w14:paraId="770A2AF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4C4A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6" w:type="dxa"/>
            <w:vAlign w:val="center"/>
          </w:tcPr>
          <w:p w14:paraId="14400D9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1</w:t>
            </w:r>
          </w:p>
        </w:tc>
        <w:tc>
          <w:tcPr>
            <w:tcW w:w="876" w:type="dxa"/>
          </w:tcPr>
          <w:p w14:paraId="7856E65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t>5.18</w:t>
            </w:r>
          </w:p>
        </w:tc>
        <w:tc>
          <w:tcPr>
            <w:tcW w:w="1791" w:type="dxa"/>
          </w:tcPr>
          <w:p w14:paraId="6890A4FC">
            <w:pPr>
              <w:jc w:val="left"/>
              <w:rPr>
                <w:rFonts w:ascii="黑体" w:eastAsia="黑体"/>
              </w:rPr>
            </w:pPr>
            <w:r>
              <w:rPr>
                <w:rFonts w:ascii="黑体" w:eastAsia="黑体"/>
              </w:rPr>
              <w:t>6 Internalism, externalism, and epistemic circularity</w:t>
            </w:r>
          </w:p>
          <w:p w14:paraId="38CED10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36" w:type="dxa"/>
          </w:tcPr>
          <w:p w14:paraId="6C000428">
            <w:r>
              <w:rPr>
                <w:rFonts w:hint="eastAsia" w:ascii="黑体" w:hAnsi="宋体" w:eastAsia="黑体"/>
              </w:rPr>
              <w:t xml:space="preserve"> </w:t>
            </w:r>
            <w:r>
              <w:rPr>
                <w:rFonts w:hint="eastAsia" w:eastAsia="黑体"/>
              </w:rPr>
              <w:t xml:space="preserve"> </w:t>
            </w:r>
          </w:p>
          <w:p w14:paraId="7135A91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黑体" w:eastAsia="黑体"/>
              </w:rPr>
              <w:t xml:space="preserve"> 理解内在论和外在论的划分和意义。</w:t>
            </w:r>
          </w:p>
        </w:tc>
        <w:tc>
          <w:tcPr>
            <w:tcW w:w="1065" w:type="dxa"/>
          </w:tcPr>
          <w:p w14:paraId="56E218A9">
            <w:r>
              <w:rPr>
                <w:rFonts w:hint="eastAsia"/>
              </w:rPr>
              <w:t>第一节1课时</w:t>
            </w:r>
          </w:p>
          <w:p w14:paraId="3AD8F246">
            <w:r>
              <w:rPr>
                <w:rFonts w:hint="eastAsia"/>
              </w:rPr>
              <w:t xml:space="preserve">第二节1课时 </w:t>
            </w:r>
          </w:p>
          <w:p w14:paraId="32A5F13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232394A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阅读相关文献</w:t>
            </w:r>
          </w:p>
        </w:tc>
        <w:tc>
          <w:tcPr>
            <w:tcW w:w="833" w:type="dxa"/>
            <w:vAlign w:val="center"/>
          </w:tcPr>
          <w:p w14:paraId="2709F9E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FF01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6" w:type="dxa"/>
            <w:vAlign w:val="center"/>
          </w:tcPr>
          <w:p w14:paraId="0315018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876" w:type="dxa"/>
          </w:tcPr>
          <w:p w14:paraId="57E7E91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t>5.25</w:t>
            </w:r>
          </w:p>
        </w:tc>
        <w:tc>
          <w:tcPr>
            <w:tcW w:w="1791" w:type="dxa"/>
          </w:tcPr>
          <w:p w14:paraId="76E4E8E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黑体" w:eastAsia="黑体"/>
              </w:rPr>
              <w:t>6Internalism, externalism, and epistemic circularity</w:t>
            </w:r>
          </w:p>
        </w:tc>
        <w:tc>
          <w:tcPr>
            <w:tcW w:w="1036" w:type="dxa"/>
          </w:tcPr>
          <w:p w14:paraId="46C89BF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黑体" w:hAnsi="宋体" w:eastAsia="黑体"/>
              </w:rPr>
              <w:t>了解对认知循环问题。</w:t>
            </w:r>
          </w:p>
        </w:tc>
        <w:tc>
          <w:tcPr>
            <w:tcW w:w="1065" w:type="dxa"/>
          </w:tcPr>
          <w:p w14:paraId="19146B3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 xml:space="preserve"> 2课时</w:t>
            </w:r>
          </w:p>
        </w:tc>
        <w:tc>
          <w:tcPr>
            <w:tcW w:w="1239" w:type="dxa"/>
            <w:vAlign w:val="center"/>
          </w:tcPr>
          <w:p w14:paraId="3F61C29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阅读相关文献</w:t>
            </w:r>
          </w:p>
        </w:tc>
        <w:tc>
          <w:tcPr>
            <w:tcW w:w="833" w:type="dxa"/>
            <w:vAlign w:val="center"/>
          </w:tcPr>
          <w:p w14:paraId="2473221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6449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6" w:type="dxa"/>
            <w:vAlign w:val="center"/>
          </w:tcPr>
          <w:p w14:paraId="475E980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3</w:t>
            </w:r>
          </w:p>
        </w:tc>
        <w:tc>
          <w:tcPr>
            <w:tcW w:w="876" w:type="dxa"/>
          </w:tcPr>
          <w:p w14:paraId="12FBD3D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t>6.1</w:t>
            </w:r>
          </w:p>
        </w:tc>
        <w:tc>
          <w:tcPr>
            <w:tcW w:w="1791" w:type="dxa"/>
          </w:tcPr>
          <w:p w14:paraId="61FB6E0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黑体" w:eastAsia="黑体"/>
              </w:rPr>
              <w:t>7 Skepticism</w:t>
            </w:r>
          </w:p>
        </w:tc>
        <w:tc>
          <w:tcPr>
            <w:tcW w:w="1036" w:type="dxa"/>
          </w:tcPr>
          <w:p w14:paraId="05B9950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黑体" w:hAnsi="宋体" w:eastAsia="黑体"/>
              </w:rPr>
              <w:t xml:space="preserve"> </w:t>
            </w:r>
            <w:r>
              <w:rPr>
                <w:rFonts w:hint="eastAsia" w:eastAsia="黑体"/>
              </w:rPr>
              <w:t xml:space="preserve"> 了解</w:t>
            </w:r>
            <w:r>
              <w:rPr>
                <w:rFonts w:hint="eastAsia" w:ascii="黑体" w:eastAsia="黑体"/>
              </w:rPr>
              <w:t>各种怀疑论。</w:t>
            </w:r>
          </w:p>
        </w:tc>
        <w:tc>
          <w:tcPr>
            <w:tcW w:w="1065" w:type="dxa"/>
          </w:tcPr>
          <w:p w14:paraId="3B962E9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 xml:space="preserve"> 第一、二节共2课时</w:t>
            </w:r>
          </w:p>
        </w:tc>
        <w:tc>
          <w:tcPr>
            <w:tcW w:w="1239" w:type="dxa"/>
            <w:vAlign w:val="center"/>
          </w:tcPr>
          <w:p w14:paraId="0B87226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阅读相关文献</w:t>
            </w:r>
          </w:p>
        </w:tc>
        <w:tc>
          <w:tcPr>
            <w:tcW w:w="833" w:type="dxa"/>
            <w:vAlign w:val="center"/>
          </w:tcPr>
          <w:p w14:paraId="5A400D2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94F8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6" w:type="dxa"/>
            <w:vAlign w:val="center"/>
          </w:tcPr>
          <w:p w14:paraId="5252847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876" w:type="dxa"/>
          </w:tcPr>
          <w:p w14:paraId="42B03CF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t>6.8</w:t>
            </w:r>
          </w:p>
        </w:tc>
        <w:tc>
          <w:tcPr>
            <w:tcW w:w="1791" w:type="dxa"/>
          </w:tcPr>
          <w:p w14:paraId="7E1ECB7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 xml:space="preserve"> </w:t>
            </w:r>
            <w:r>
              <w:t>7 Skepticism</w:t>
            </w:r>
          </w:p>
        </w:tc>
        <w:tc>
          <w:tcPr>
            <w:tcW w:w="1036" w:type="dxa"/>
          </w:tcPr>
          <w:p w14:paraId="2BDA51F5">
            <w:r>
              <w:rPr>
                <w:rFonts w:hint="eastAsia" w:ascii="黑体" w:hAnsi="宋体" w:eastAsia="黑体"/>
              </w:rPr>
              <w:t xml:space="preserve"> </w:t>
            </w:r>
          </w:p>
          <w:p w14:paraId="7E71170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 xml:space="preserve">了解对几种怀疑论的批判。 </w:t>
            </w:r>
          </w:p>
        </w:tc>
        <w:tc>
          <w:tcPr>
            <w:tcW w:w="1065" w:type="dxa"/>
          </w:tcPr>
          <w:p w14:paraId="60C9B758">
            <w:r>
              <w:rPr>
                <w:rFonts w:hint="eastAsia"/>
              </w:rPr>
              <w:t>第三节1课时</w:t>
            </w:r>
          </w:p>
          <w:p w14:paraId="538D76B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 xml:space="preserve">第四节1课时 </w:t>
            </w:r>
          </w:p>
        </w:tc>
        <w:tc>
          <w:tcPr>
            <w:tcW w:w="1239" w:type="dxa"/>
            <w:vAlign w:val="center"/>
          </w:tcPr>
          <w:p w14:paraId="7510C24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阅读相关文献</w:t>
            </w:r>
          </w:p>
        </w:tc>
        <w:tc>
          <w:tcPr>
            <w:tcW w:w="833" w:type="dxa"/>
            <w:vAlign w:val="center"/>
          </w:tcPr>
          <w:p w14:paraId="1EF99ED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9E31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6" w:type="dxa"/>
            <w:vAlign w:val="center"/>
          </w:tcPr>
          <w:p w14:paraId="39838EC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5</w:t>
            </w:r>
          </w:p>
        </w:tc>
        <w:tc>
          <w:tcPr>
            <w:tcW w:w="876" w:type="dxa"/>
          </w:tcPr>
          <w:p w14:paraId="0709DB5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t>6.15</w:t>
            </w:r>
          </w:p>
        </w:tc>
        <w:tc>
          <w:tcPr>
            <w:tcW w:w="1791" w:type="dxa"/>
          </w:tcPr>
          <w:p w14:paraId="20313B8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黑体" w:eastAsia="黑体"/>
              </w:rPr>
              <w:t>8 The problem of the criterion</w:t>
            </w:r>
          </w:p>
        </w:tc>
        <w:tc>
          <w:tcPr>
            <w:tcW w:w="1036" w:type="dxa"/>
          </w:tcPr>
          <w:p w14:paraId="1BC675F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黑体" w:hAnsi="宋体" w:eastAsia="黑体"/>
              </w:rPr>
              <w:t>了解</w:t>
            </w:r>
            <w:r>
              <w:rPr>
                <w:rFonts w:hint="eastAsia"/>
              </w:rPr>
              <w:t>对知识的标准问题的研究进展。</w:t>
            </w:r>
          </w:p>
        </w:tc>
        <w:tc>
          <w:tcPr>
            <w:tcW w:w="1065" w:type="dxa"/>
          </w:tcPr>
          <w:p w14:paraId="7A2A102E">
            <w:r>
              <w:rPr>
                <w:rFonts w:hint="eastAsia" w:ascii="黑体" w:hAnsi="宋体" w:eastAsia="黑体"/>
              </w:rPr>
              <w:t xml:space="preserve">     </w:t>
            </w:r>
            <w:r>
              <w:rPr>
                <w:rFonts w:hint="eastAsia"/>
              </w:rPr>
              <w:t>第一、二节2课时</w:t>
            </w:r>
          </w:p>
          <w:p w14:paraId="3ABBB510">
            <w:pPr>
              <w:rPr>
                <w:rFonts w:ascii="黑体" w:hAnsi="宋体" w:eastAsia="黑体"/>
              </w:rPr>
            </w:pPr>
            <w:r>
              <w:rPr>
                <w:rFonts w:hint="eastAsia" w:eastAsia="黑体"/>
              </w:rPr>
              <w:t xml:space="preserve"> </w:t>
            </w:r>
          </w:p>
          <w:p w14:paraId="27A8C4E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1097680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阅读相关文献</w:t>
            </w:r>
          </w:p>
        </w:tc>
        <w:tc>
          <w:tcPr>
            <w:tcW w:w="833" w:type="dxa"/>
            <w:vAlign w:val="center"/>
          </w:tcPr>
          <w:p w14:paraId="1B7F9E2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6598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6" w:type="dxa"/>
            <w:vAlign w:val="center"/>
          </w:tcPr>
          <w:p w14:paraId="27B59BD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6</w:t>
            </w:r>
          </w:p>
        </w:tc>
        <w:tc>
          <w:tcPr>
            <w:tcW w:w="876" w:type="dxa"/>
          </w:tcPr>
          <w:p w14:paraId="7D286AA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t>6.22</w:t>
            </w:r>
          </w:p>
        </w:tc>
        <w:tc>
          <w:tcPr>
            <w:tcW w:w="1791" w:type="dxa"/>
          </w:tcPr>
          <w:p w14:paraId="1291A4C7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/>
              </w:rPr>
            </w:pPr>
            <w:r>
              <w:rPr>
                <w:rFonts w:ascii="黑体" w:eastAsia="黑体"/>
              </w:rPr>
              <w:t xml:space="preserve">9 </w:t>
            </w:r>
            <w:r>
              <w:rPr>
                <w:rFonts w:hint="eastAsia" w:ascii="宋体" w:hAnsi="宋体" w:eastAsia="宋体"/>
                <w:lang w:val="en-US" w:eastAsia="zh-CN"/>
              </w:rPr>
              <w:t>Bayesian epistemology</w:t>
            </w:r>
          </w:p>
        </w:tc>
        <w:tc>
          <w:tcPr>
            <w:tcW w:w="1036" w:type="dxa"/>
          </w:tcPr>
          <w:p w14:paraId="786B1AA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黑体" w:hAnsi="宋体" w:eastAsia="黑体"/>
                <w:lang w:val="en-US" w:eastAsia="zh-CN"/>
              </w:rPr>
              <w:t>了解贝叶斯认识论的基础</w:t>
            </w:r>
            <w:r>
              <w:rPr>
                <w:rFonts w:hint="eastAsia" w:ascii="黑体" w:hAnsi="宋体" w:eastAsia="黑体"/>
              </w:rPr>
              <w:t>。</w:t>
            </w:r>
          </w:p>
        </w:tc>
        <w:tc>
          <w:tcPr>
            <w:tcW w:w="1065" w:type="dxa"/>
          </w:tcPr>
          <w:p w14:paraId="70EC0E40">
            <w:r>
              <w:rPr>
                <w:rFonts w:hint="eastAsia"/>
              </w:rPr>
              <w:t>第一节1课时</w:t>
            </w:r>
          </w:p>
          <w:p w14:paraId="2AEB9E78">
            <w:r>
              <w:rPr>
                <w:rFonts w:hint="eastAsia"/>
              </w:rPr>
              <w:t xml:space="preserve">第二节1课时 </w:t>
            </w:r>
          </w:p>
          <w:p w14:paraId="3FEAEAB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323A306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阅读相关文献</w:t>
            </w:r>
          </w:p>
        </w:tc>
        <w:tc>
          <w:tcPr>
            <w:tcW w:w="833" w:type="dxa"/>
            <w:vAlign w:val="center"/>
          </w:tcPr>
          <w:p w14:paraId="7D5F269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6E53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6" w:type="dxa"/>
            <w:vAlign w:val="center"/>
          </w:tcPr>
          <w:p w14:paraId="22BD2CE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7</w:t>
            </w:r>
          </w:p>
        </w:tc>
        <w:tc>
          <w:tcPr>
            <w:tcW w:w="876" w:type="dxa"/>
          </w:tcPr>
          <w:p w14:paraId="4E7013D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t>6.29</w:t>
            </w:r>
          </w:p>
        </w:tc>
        <w:tc>
          <w:tcPr>
            <w:tcW w:w="1791" w:type="dxa"/>
          </w:tcPr>
          <w:p w14:paraId="3CB650B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黑体" w:eastAsia="黑体"/>
              </w:rPr>
              <w:t>讨论课</w:t>
            </w:r>
          </w:p>
        </w:tc>
        <w:tc>
          <w:tcPr>
            <w:tcW w:w="1036" w:type="dxa"/>
          </w:tcPr>
          <w:p w14:paraId="3942362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黑体" w:hAnsi="宋体" w:eastAsia="黑体"/>
              </w:rPr>
              <w:t xml:space="preserve"> </w:t>
            </w:r>
            <w:r>
              <w:rPr>
                <w:rFonts w:hint="eastAsia" w:eastAsia="黑体"/>
              </w:rPr>
              <w:t>组织S</w:t>
            </w:r>
            <w:r>
              <w:rPr>
                <w:rFonts w:eastAsia="黑体"/>
              </w:rPr>
              <w:t>eminar.</w:t>
            </w:r>
          </w:p>
        </w:tc>
        <w:tc>
          <w:tcPr>
            <w:tcW w:w="1065" w:type="dxa"/>
          </w:tcPr>
          <w:p w14:paraId="0E7A86B1">
            <w:pPr>
              <w:rPr>
                <w:rFonts w:ascii="黑体" w:hAnsi="宋体" w:eastAsia="黑体"/>
              </w:rPr>
            </w:pPr>
            <w:r>
              <w:rPr>
                <w:rFonts w:hint="eastAsia" w:ascii="黑体" w:hAnsi="宋体" w:eastAsia="黑体"/>
              </w:rPr>
              <w:t xml:space="preserve"> </w:t>
            </w:r>
          </w:p>
          <w:p w14:paraId="3C240AD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>共2课时</w:t>
            </w:r>
            <w:r>
              <w:rPr>
                <w:rFonts w:hint="eastAsia" w:ascii="黑体" w:hAnsi="宋体" w:eastAsia="黑体"/>
              </w:rPr>
              <w:t xml:space="preserve"> </w:t>
            </w:r>
          </w:p>
        </w:tc>
        <w:tc>
          <w:tcPr>
            <w:tcW w:w="1239" w:type="dxa"/>
            <w:vAlign w:val="center"/>
          </w:tcPr>
          <w:p w14:paraId="4DC105C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完成课程论文</w:t>
            </w:r>
          </w:p>
        </w:tc>
        <w:tc>
          <w:tcPr>
            <w:tcW w:w="833" w:type="dxa"/>
            <w:vAlign w:val="center"/>
          </w:tcPr>
          <w:p w14:paraId="01070F5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 w14:paraId="2181ECC0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 w14:paraId="434E779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．</w:t>
      </w:r>
      <w:r>
        <w:rPr>
          <w:rFonts w:ascii="宋体" w:hAnsi="宋体" w:eastAsia="宋体"/>
        </w:rPr>
        <w:t>N.Lemos著，"An Introduction to the theory of Knowledge"，剑桥大学出版社，2004年。</w:t>
      </w:r>
    </w:p>
    <w:p w14:paraId="56665586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2．</w:t>
      </w:r>
      <w:r>
        <w:rPr>
          <w:rFonts w:ascii="宋体" w:hAnsi="宋体" w:eastAsia="宋体"/>
        </w:rPr>
        <w:t>Jaegwon Kim</w:t>
      </w:r>
      <w:r>
        <w:rPr>
          <w:rFonts w:hint="eastAsia" w:ascii="宋体" w:hAnsi="宋体" w:eastAsia="宋体"/>
          <w:lang w:val="en-US" w:eastAsia="zh-CN"/>
        </w:rPr>
        <w:t>著</w:t>
      </w:r>
      <w:r>
        <w:rPr>
          <w:rFonts w:ascii="宋体" w:hAnsi="宋体" w:eastAsia="宋体"/>
        </w:rPr>
        <w:t>,E</w:t>
      </w:r>
      <w:r>
        <w:rPr>
          <w:rFonts w:hint="eastAsia" w:ascii="宋体" w:hAnsi="宋体" w:eastAsia="宋体"/>
        </w:rPr>
        <w:t>p</w:t>
      </w:r>
      <w:r>
        <w:rPr>
          <w:rFonts w:ascii="宋体" w:hAnsi="宋体" w:eastAsia="宋体"/>
        </w:rPr>
        <w:t xml:space="preserve">istemology: an Anthology, Second Edition </w:t>
      </w:r>
      <w:r>
        <w:rPr>
          <w:rFonts w:hint="eastAsia" w:ascii="宋体" w:hAnsi="宋体" w:eastAsia="宋体"/>
        </w:rPr>
        <w:t>,</w:t>
      </w:r>
      <w:r>
        <w:rPr>
          <w:rFonts w:ascii="宋体" w:hAnsi="宋体" w:eastAsia="宋体"/>
        </w:rPr>
        <w:t xml:space="preserve">Edited by Ernest Sosa,  </w:t>
      </w:r>
      <w:r>
        <w:rPr>
          <w:rFonts w:hint="eastAsia" w:ascii="宋体" w:hAnsi="宋体" w:eastAsia="宋体"/>
        </w:rPr>
        <w:t>布莱克威尔</w:t>
      </w:r>
      <w:r>
        <w:rPr>
          <w:rFonts w:ascii="宋体" w:hAnsi="宋体" w:eastAsia="宋体"/>
        </w:rPr>
        <w:t>出版公司</w:t>
      </w:r>
      <w:r>
        <w:rPr>
          <w:rFonts w:hint="eastAsia" w:ascii="宋体" w:hAnsi="宋体" w:eastAsia="宋体"/>
        </w:rPr>
        <w:t>,</w:t>
      </w:r>
      <w:r>
        <w:rPr>
          <w:rFonts w:ascii="宋体" w:hAnsi="宋体" w:eastAsia="宋体"/>
        </w:rPr>
        <w:t>2008</w:t>
      </w:r>
      <w:r>
        <w:rPr>
          <w:rFonts w:hint="eastAsia" w:ascii="宋体" w:hAnsi="宋体" w:eastAsia="宋体"/>
        </w:rPr>
        <w:t>年。</w:t>
      </w:r>
      <w:r>
        <w:rPr>
          <w:rFonts w:ascii="宋体" w:hAnsi="宋体" w:eastAsia="宋体"/>
        </w:rPr>
        <w:t xml:space="preserve"> </w:t>
      </w:r>
    </w:p>
    <w:p w14:paraId="365790E4">
      <w:pPr>
        <w:widowControl/>
        <w:spacing w:before="156" w:beforeLines="50" w:after="156" w:afterLines="50"/>
        <w:ind w:left="210" w:leftChars="100" w:firstLine="210" w:firstLineChars="100"/>
        <w:jc w:val="left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3. Michael J.Tetelbaum著，Fundamentals of Bayesian Epistemology(introducing credences),牛津大学出版社，2022年。</w:t>
      </w:r>
    </w:p>
    <w:p w14:paraId="2EEBCDCC"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 w14:paraId="4A1729D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1．讲授法</w:t>
      </w:r>
    </w:p>
    <w:p w14:paraId="75ABFC8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2．讨论法</w:t>
      </w:r>
    </w:p>
    <w:p w14:paraId="588E2C0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</w:t>
      </w:r>
      <w:r>
        <w:rPr>
          <w:rFonts w:ascii="宋体" w:hAnsi="宋体" w:eastAsia="宋体"/>
        </w:rPr>
        <w:t xml:space="preserve">. </w:t>
      </w:r>
      <w:r>
        <w:rPr>
          <w:rFonts w:hint="eastAsia" w:ascii="宋体" w:hAnsi="宋体" w:eastAsia="宋体"/>
        </w:rPr>
        <w:t>论文报告</w:t>
      </w:r>
    </w:p>
    <w:p w14:paraId="6203E3CB"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 w14:paraId="4A46BC49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</w:p>
    <w:p w14:paraId="16B218AF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 w14:paraId="35B1A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4969B516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7754D9B7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0D3141B0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 w14:paraId="5AC7F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7B933225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8F7A5E8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哲学论证</w:t>
            </w:r>
          </w:p>
        </w:tc>
        <w:tc>
          <w:tcPr>
            <w:tcW w:w="2849" w:type="dxa"/>
            <w:vAlign w:val="center"/>
          </w:tcPr>
          <w:p w14:paraId="2FA4A7D9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课程论文</w:t>
            </w:r>
          </w:p>
        </w:tc>
      </w:tr>
      <w:tr w14:paraId="4BB37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45984F22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7F20A21D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哲学论证</w:t>
            </w:r>
          </w:p>
        </w:tc>
        <w:tc>
          <w:tcPr>
            <w:tcW w:w="2849" w:type="dxa"/>
            <w:vAlign w:val="center"/>
          </w:tcPr>
          <w:p w14:paraId="21F83FC7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课程论文</w:t>
            </w:r>
          </w:p>
        </w:tc>
      </w:tr>
      <w:tr w14:paraId="4AFE0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3F0BC51D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4195CE77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哲学论证</w:t>
            </w:r>
          </w:p>
        </w:tc>
        <w:tc>
          <w:tcPr>
            <w:tcW w:w="2849" w:type="dxa"/>
            <w:vAlign w:val="center"/>
          </w:tcPr>
          <w:p w14:paraId="2B1E7869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课程论文</w:t>
            </w:r>
          </w:p>
        </w:tc>
      </w:tr>
    </w:tbl>
    <w:p w14:paraId="6793CCE6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</w:p>
    <w:p w14:paraId="2C287DE1"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 w14:paraId="2871F0EA"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平时成绩：</w:t>
      </w:r>
      <w:r>
        <w:rPr>
          <w:rFonts w:ascii="宋体" w:hAnsi="宋体" w:eastAsia="宋体"/>
        </w:rPr>
        <w:t>40%</w:t>
      </w:r>
      <w:r>
        <w:rPr>
          <w:rFonts w:hint="eastAsia" w:ascii="宋体" w:hAnsi="宋体" w:eastAsia="宋体"/>
        </w:rPr>
        <w:t>，期末考试6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，按课程考核实际情况描述</w:t>
      </w:r>
    </w:p>
    <w:p w14:paraId="3634021F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</w:p>
    <w:p w14:paraId="0442332F"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 w14:paraId="19F60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7AB25655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 w14:paraId="26A6E6ED"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BF5E93D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01AC84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F441865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5268CFB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 w14:paraId="67772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EA2D9F8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890BBDD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0</w:t>
            </w:r>
            <w:r>
              <w:rPr>
                <w:rFonts w:ascii="宋体" w:hAnsi="宋体" w:eastAsia="宋体"/>
                <w:kern w:val="0"/>
                <w:szCs w:val="21"/>
              </w:rPr>
              <w:t>.4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83CCAE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24FD5F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0</w:t>
            </w:r>
            <w:r>
              <w:rPr>
                <w:rFonts w:ascii="宋体" w:hAnsi="宋体" w:eastAsia="宋体"/>
                <w:kern w:val="0"/>
                <w:szCs w:val="21"/>
              </w:rPr>
              <w:t>.6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7BCFA197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（例：课程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总分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。按课程考核实际情况描述）</w:t>
            </w:r>
          </w:p>
        </w:tc>
      </w:tr>
      <w:tr w14:paraId="73727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138E6A4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EF50B86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0</w:t>
            </w:r>
            <w:r>
              <w:rPr>
                <w:rFonts w:ascii="宋体" w:hAnsi="宋体" w:eastAsia="宋体"/>
                <w:kern w:val="0"/>
                <w:szCs w:val="21"/>
              </w:rPr>
              <w:t>.4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C80DBC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AC3E16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0</w:t>
            </w:r>
            <w:r>
              <w:rPr>
                <w:rFonts w:ascii="宋体" w:hAnsi="宋体" w:eastAsia="宋体"/>
                <w:kern w:val="0"/>
                <w:szCs w:val="21"/>
              </w:rPr>
              <w:t>.6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17AA184A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 w14:paraId="110D9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A677BF4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F0AE6FA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0</w:t>
            </w:r>
            <w:r>
              <w:rPr>
                <w:rFonts w:ascii="宋体" w:hAnsi="宋体" w:eastAsia="宋体"/>
                <w:kern w:val="0"/>
                <w:szCs w:val="21"/>
              </w:rPr>
              <w:t>.4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4BEC86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BBD9325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0</w:t>
            </w:r>
            <w:r>
              <w:rPr>
                <w:rFonts w:ascii="宋体" w:hAnsi="宋体" w:eastAsia="宋体"/>
                <w:kern w:val="0"/>
                <w:szCs w:val="21"/>
              </w:rPr>
              <w:t>.6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52C2AA56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 w14:paraId="1A382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0B6B8EF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14:paraId="0CE18D28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F0F353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DB38F0C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3C83754F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 w14:paraId="778F5B49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 w14:paraId="5F184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AE007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 w14:paraId="1B54ECA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407ECE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 w14:paraId="47730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7A3DA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B03B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A15C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1BFF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E56A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FEC8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 w14:paraId="4FE93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1CFA4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9F1C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C0D9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1641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8CBB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B5E9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 w14:paraId="52FA5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9D4B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1BE0D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4EF8F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71E1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A035C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FEAAA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 w14:paraId="66D7F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057B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15E203CA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81CF9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概念准确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C45F7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概念正确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4CF7A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概念明确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83E61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概念基本正确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DFEE2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概念错误</w:t>
            </w:r>
          </w:p>
        </w:tc>
      </w:tr>
      <w:tr w14:paraId="7FE27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AAFC4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51A593FF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B7467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理解到位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D7A4C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理解正确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97826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理解合理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308AC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基本理解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0712C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理解错误</w:t>
            </w:r>
          </w:p>
        </w:tc>
      </w:tr>
      <w:tr w14:paraId="0F01A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40CD4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40DCEE91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90A70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论证成功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25BC1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论证正确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6D8B3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论证成立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41FD9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论证有漏洞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692FC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论证不成立</w:t>
            </w:r>
          </w:p>
        </w:tc>
      </w:tr>
      <w:tr w14:paraId="7C34D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35C38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59BCC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6B793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D73C5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F1F97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BA138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</w:tr>
    </w:tbl>
    <w:p w14:paraId="1261D043"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E1ZDlmYzIwZmQ4MTRjMTZmYmZiMjc5YTQwY2I4YTgifQ=="/>
  </w:docVars>
  <w:rsids>
    <w:rsidRoot w:val="001E5724"/>
    <w:rsid w:val="00022CBB"/>
    <w:rsid w:val="00032F81"/>
    <w:rsid w:val="00077A5F"/>
    <w:rsid w:val="00085A83"/>
    <w:rsid w:val="0009319B"/>
    <w:rsid w:val="000E3CEF"/>
    <w:rsid w:val="000F054A"/>
    <w:rsid w:val="001E5724"/>
    <w:rsid w:val="00202049"/>
    <w:rsid w:val="00242673"/>
    <w:rsid w:val="00272B9E"/>
    <w:rsid w:val="00285327"/>
    <w:rsid w:val="002A7568"/>
    <w:rsid w:val="00313A87"/>
    <w:rsid w:val="00322986"/>
    <w:rsid w:val="00335665"/>
    <w:rsid w:val="0034254B"/>
    <w:rsid w:val="0038665C"/>
    <w:rsid w:val="003C266D"/>
    <w:rsid w:val="004070CF"/>
    <w:rsid w:val="00483800"/>
    <w:rsid w:val="005A0378"/>
    <w:rsid w:val="005E3A93"/>
    <w:rsid w:val="00665621"/>
    <w:rsid w:val="006E4F82"/>
    <w:rsid w:val="006F64C9"/>
    <w:rsid w:val="00761717"/>
    <w:rsid w:val="007639A2"/>
    <w:rsid w:val="00773C7D"/>
    <w:rsid w:val="00795D90"/>
    <w:rsid w:val="00797FCD"/>
    <w:rsid w:val="007A2079"/>
    <w:rsid w:val="007A4FCB"/>
    <w:rsid w:val="007C379D"/>
    <w:rsid w:val="007C62ED"/>
    <w:rsid w:val="007E39E3"/>
    <w:rsid w:val="008128AD"/>
    <w:rsid w:val="008560E2"/>
    <w:rsid w:val="00886EBF"/>
    <w:rsid w:val="008B6EAF"/>
    <w:rsid w:val="00922577"/>
    <w:rsid w:val="009E4CF9"/>
    <w:rsid w:val="00A03BBD"/>
    <w:rsid w:val="00A40DAA"/>
    <w:rsid w:val="00A5008D"/>
    <w:rsid w:val="00A61EFD"/>
    <w:rsid w:val="00AA4570"/>
    <w:rsid w:val="00AA630A"/>
    <w:rsid w:val="00AE3D1A"/>
    <w:rsid w:val="00AF1ABA"/>
    <w:rsid w:val="00B03909"/>
    <w:rsid w:val="00B40ECD"/>
    <w:rsid w:val="00B707FC"/>
    <w:rsid w:val="00BA23F0"/>
    <w:rsid w:val="00BC280C"/>
    <w:rsid w:val="00BD648F"/>
    <w:rsid w:val="00BF56E5"/>
    <w:rsid w:val="00C00798"/>
    <w:rsid w:val="00C54636"/>
    <w:rsid w:val="00C96885"/>
    <w:rsid w:val="00CA53B2"/>
    <w:rsid w:val="00CD6107"/>
    <w:rsid w:val="00CE029D"/>
    <w:rsid w:val="00D02F99"/>
    <w:rsid w:val="00D13271"/>
    <w:rsid w:val="00D14471"/>
    <w:rsid w:val="00D257A8"/>
    <w:rsid w:val="00D417A1"/>
    <w:rsid w:val="00D504B7"/>
    <w:rsid w:val="00D715F7"/>
    <w:rsid w:val="00DA3DDD"/>
    <w:rsid w:val="00DD7B5F"/>
    <w:rsid w:val="00DE7849"/>
    <w:rsid w:val="00E05E8B"/>
    <w:rsid w:val="00E366AB"/>
    <w:rsid w:val="00E65357"/>
    <w:rsid w:val="00E76E34"/>
    <w:rsid w:val="00EC01CA"/>
    <w:rsid w:val="00EC5CB3"/>
    <w:rsid w:val="00ED7F81"/>
    <w:rsid w:val="00F56396"/>
    <w:rsid w:val="00FB77A1"/>
    <w:rsid w:val="00FC24B5"/>
    <w:rsid w:val="31531F48"/>
    <w:rsid w:val="462742DA"/>
    <w:rsid w:val="76A0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字符"/>
    <w:basedOn w:val="8"/>
    <w:link w:val="2"/>
    <w:uiPriority w:val="99"/>
    <w:rPr>
      <w:rFonts w:ascii="宋体" w:hAnsi="Courier New" w:eastAsia="宋体" w:cs="Times New Roman"/>
      <w:szCs w:val="20"/>
    </w:rPr>
  </w:style>
  <w:style w:type="character" w:customStyle="1" w:styleId="10">
    <w:name w:val="页眉 字符"/>
    <w:basedOn w:val="8"/>
    <w:link w:val="5"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10</Pages>
  <Words>2884</Words>
  <Characters>4250</Characters>
  <Lines>35</Lines>
  <Paragraphs>10</Paragraphs>
  <TotalTime>26</TotalTime>
  <ScaleCrop>false</ScaleCrop>
  <LinksUpToDate>false</LinksUpToDate>
  <CharactersWithSpaces>4572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2021-05-06T11:18:00Z</dcterms:created>
  <dc:creator>Windows User</dc:creator>
  <cp:lastModifiedBy>lyy</cp:lastModifiedBy>
  <cp:lastPrinted>2020-12-24T07:17:00Z</cp:lastPrinted>
  <dcterms:modified xsi:type="dcterms:W3CDTF">2024-08-24T13:12:08Z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190AB1A9143E4AC7AE5CE3E71A4959BE_13</vt:lpwstr>
  </property>
</Properties>
</file>