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8722A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管理沟通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3C66C785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0CAF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97AF54A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0D9D1D9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Management Communication</w:t>
            </w:r>
          </w:p>
        </w:tc>
        <w:tc>
          <w:tcPr>
            <w:tcW w:w="1134" w:type="dxa"/>
            <w:vAlign w:val="center"/>
          </w:tcPr>
          <w:p w14:paraId="40C1EB18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123BF2A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HURM2022</w:t>
            </w:r>
          </w:p>
        </w:tc>
      </w:tr>
      <w:tr w14:paraId="74A4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D680F4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04E5FE6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39E684B1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E449DC4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哲学 本科生</w:t>
            </w:r>
          </w:p>
        </w:tc>
      </w:tr>
      <w:tr w14:paraId="1BE3D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DC053C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EA409F3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0</w:t>
            </w:r>
          </w:p>
        </w:tc>
        <w:tc>
          <w:tcPr>
            <w:tcW w:w="1134" w:type="dxa"/>
            <w:vAlign w:val="center"/>
          </w:tcPr>
          <w:p w14:paraId="2695338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AE5FDAE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54</w:t>
            </w:r>
          </w:p>
        </w:tc>
      </w:tr>
      <w:tr w14:paraId="6611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EBEE280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0D0F1E5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王一成</w:t>
            </w:r>
          </w:p>
        </w:tc>
        <w:tc>
          <w:tcPr>
            <w:tcW w:w="1134" w:type="dxa"/>
            <w:vAlign w:val="center"/>
          </w:tcPr>
          <w:p w14:paraId="74B1301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14B2AAE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202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</w:rPr>
              <w:t>08</w:t>
            </w:r>
            <w:r>
              <w:rPr>
                <w:rFonts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</w:rPr>
              <w:t>20</w:t>
            </w:r>
          </w:p>
        </w:tc>
      </w:tr>
      <w:tr w14:paraId="175AA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202714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885835A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</w:tr>
    </w:tbl>
    <w:p w14:paraId="155B8703">
      <w:pPr>
        <w:pStyle w:val="2"/>
        <w:spacing w:before="156" w:beforeLines="50" w:after="156" w:afterLines="50"/>
        <w:ind w:firstLine="562" w:firstLineChars="200"/>
        <w:rPr>
          <w:rFonts w:ascii="黑体" w:hAnsi="黑体" w:eastAsia="黑体" w:cs="宋体"/>
          <w:b/>
          <w:sz w:val="28"/>
          <w:szCs w:val="28"/>
        </w:rPr>
      </w:pPr>
    </w:p>
    <w:p w14:paraId="515054DA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5DA60A58">
      <w:pPr>
        <w:pStyle w:val="2"/>
        <w:spacing w:before="156" w:beforeLines="50" w:after="156" w:afterLines="50"/>
        <w:ind w:firstLine="482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b/>
          <w:sz w:val="24"/>
          <w:szCs w:val="24"/>
        </w:rPr>
        <w:t>（一）总体目标</w:t>
      </w:r>
    </w:p>
    <w:p w14:paraId="4E078DDB">
      <w:pPr>
        <w:spacing w:line="440" w:lineRule="exact"/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eastAsia="zh-CN"/>
        </w:rPr>
        <w:t>《</w:t>
      </w:r>
      <w:r>
        <w:rPr>
          <w:rFonts w:hint="eastAsia" w:ascii="宋体" w:hAnsi="宋体" w:eastAsia="宋体"/>
          <w:szCs w:val="21"/>
          <w:lang w:val="en-US" w:eastAsia="zh-CN"/>
        </w:rPr>
        <w:t>管理沟通</w:t>
      </w:r>
      <w:r>
        <w:rPr>
          <w:rFonts w:hint="eastAsia" w:ascii="宋体" w:hAnsi="宋体" w:eastAsia="宋体"/>
          <w:szCs w:val="21"/>
          <w:lang w:eastAsia="zh-CN"/>
        </w:rPr>
        <w:t>》</w:t>
      </w:r>
      <w:r>
        <w:rPr>
          <w:rFonts w:hint="eastAsia" w:ascii="宋体" w:hAnsi="宋体" w:eastAsia="宋体"/>
          <w:szCs w:val="21"/>
          <w:lang w:val="en-US" w:eastAsia="zh-CN"/>
        </w:rPr>
        <w:t>是一门兼具理论性与实践性的课程，它源于经济管理，拓展应用于公共管理、教育管理等其他领域，旨在学生掌握管理沟通的基本理论和技能，更好地服务于组织事务运行与个人职业素养成长。哲学、思想政治教育专业等非管理学专业学生学习管理沟通，既是拓展视野、了解当代社会经济发展运行规律的重要途径，也是提升自身综合素养、加强实践训练的必要手段。</w:t>
      </w:r>
    </w:p>
    <w:p w14:paraId="79DC9090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</w:p>
    <w:p w14:paraId="00DAD81D">
      <w:pPr>
        <w:pStyle w:val="2"/>
        <w:spacing w:before="156" w:beforeLines="50" w:after="156" w:afterLines="50"/>
        <w:ind w:firstLine="482" w:firstLineChars="200"/>
        <w:rPr>
          <w:rFonts w:hAnsi="宋体" w:cs="宋体"/>
          <w:b/>
        </w:rPr>
      </w:pPr>
      <w:r>
        <w:rPr>
          <w:rFonts w:hint="eastAsia" w:ascii="黑体" w:hAnsi="黑体" w:eastAsia="黑体" w:cs="宋体"/>
          <w:b/>
          <w:sz w:val="24"/>
          <w:szCs w:val="24"/>
        </w:rPr>
        <w:t>（二）课程目标</w:t>
      </w:r>
    </w:p>
    <w:p w14:paraId="179FD2E4">
      <w:pPr>
        <w:pStyle w:val="2"/>
        <w:spacing w:before="156" w:beforeLines="50" w:after="156" w:afterLines="50"/>
        <w:ind w:firstLine="482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b/>
          <w:sz w:val="24"/>
          <w:szCs w:val="24"/>
        </w:rPr>
        <w:t>课程目标1：</w:t>
      </w:r>
    </w:p>
    <w:p w14:paraId="0EB8D2F0"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通过概念、理论体系和知识层面的梳理来学习管理沟通的基本理论与方法，帮助学生系统掌握组织内纵向沟通、横向沟通、绩效沟通、文化沟通等，以及组织间沟通品牌沟通、危机沟通和跨文化沟通等方面的原理、策略和技巧。</w:t>
      </w:r>
    </w:p>
    <w:p w14:paraId="321FE7FE"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1.1  </w:t>
      </w:r>
      <w:r>
        <w:rPr>
          <w:rFonts w:hint="eastAsia" w:ascii="宋体" w:hAnsi="宋体" w:eastAsia="宋体"/>
          <w:szCs w:val="21"/>
          <w:lang w:val="en-US" w:eastAsia="zh-CN"/>
        </w:rPr>
        <w:t>学习管理沟通的基本理论与方法</w:t>
      </w:r>
      <w:r>
        <w:rPr>
          <w:rFonts w:hint="eastAsia" w:ascii="宋体" w:hAnsi="宋体" w:eastAsia="宋体"/>
          <w:szCs w:val="21"/>
        </w:rPr>
        <w:t>。</w:t>
      </w:r>
    </w:p>
    <w:p w14:paraId="23EEC01D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1.2  </w:t>
      </w:r>
      <w:r>
        <w:rPr>
          <w:rFonts w:hint="eastAsia" w:ascii="宋体" w:hAnsi="宋体" w:eastAsia="宋体"/>
          <w:szCs w:val="21"/>
          <w:lang w:val="en-US" w:eastAsia="zh-CN"/>
        </w:rPr>
        <w:t>系统掌握组织内纵向沟通、</w:t>
      </w:r>
      <w:r>
        <w:rPr>
          <w:rFonts w:hint="eastAsia" w:ascii="宋体" w:hAnsi="宋体" w:eastAsia="宋体"/>
          <w:szCs w:val="21"/>
        </w:rPr>
        <w:t>横向沟通、绩效沟通、文化沟通等，以及组织间沟通品牌沟通、危机沟通和跨文化沟通等方面的原理、策略和技巧。</w:t>
      </w:r>
    </w:p>
    <w:p w14:paraId="25F3A936">
      <w:pPr>
        <w:pStyle w:val="2"/>
        <w:spacing w:before="156" w:beforeLines="50" w:after="156" w:afterLines="50"/>
        <w:ind w:firstLine="482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b/>
          <w:sz w:val="24"/>
          <w:szCs w:val="24"/>
        </w:rPr>
        <w:t>课程目标2：</w:t>
      </w:r>
    </w:p>
    <w:p w14:paraId="6B29C5C9"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从问题与案例出发，通过分析问题解决问题的方式来进行管理沟通的实战训练。使同学们能够理论联系实际，触类旁通，提高实际沟通水平。</w:t>
      </w:r>
    </w:p>
    <w:p w14:paraId="1667D7CC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2.1  </w:t>
      </w:r>
      <w:r>
        <w:rPr>
          <w:rFonts w:hint="eastAsia" w:ascii="宋体" w:hAnsi="宋体" w:eastAsia="宋体"/>
          <w:szCs w:val="21"/>
        </w:rPr>
        <w:t>通过分析问题解决问题的方式来进行管理沟通的实战训练。</w:t>
      </w:r>
    </w:p>
    <w:p w14:paraId="2FAD8907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 xml:space="preserve">.2  </w:t>
      </w:r>
      <w:r>
        <w:rPr>
          <w:rFonts w:hint="eastAsia" w:ascii="宋体" w:hAnsi="宋体" w:eastAsia="宋体"/>
          <w:szCs w:val="21"/>
        </w:rPr>
        <w:t>理论联系实际，触类旁通，提高实际沟通水平。</w:t>
      </w:r>
    </w:p>
    <w:p w14:paraId="6E53F3D2">
      <w:pPr>
        <w:pStyle w:val="2"/>
        <w:spacing w:before="156" w:beforeLines="50" w:after="156" w:afterLines="50"/>
        <w:ind w:firstLine="482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b/>
          <w:sz w:val="24"/>
          <w:szCs w:val="24"/>
        </w:rPr>
        <w:t>课程目标</w:t>
      </w:r>
      <w:r>
        <w:rPr>
          <w:rFonts w:ascii="黑体" w:hAnsi="黑体" w:eastAsia="黑体" w:cs="宋体"/>
          <w:b/>
          <w:sz w:val="24"/>
          <w:szCs w:val="24"/>
        </w:rPr>
        <w:t>3</w:t>
      </w:r>
      <w:r>
        <w:rPr>
          <w:rFonts w:hint="eastAsia" w:ascii="黑体" w:hAnsi="黑体" w:eastAsia="黑体" w:cs="宋体"/>
          <w:b/>
          <w:sz w:val="24"/>
          <w:szCs w:val="24"/>
        </w:rPr>
        <w:t>：</w:t>
      </w:r>
    </w:p>
    <w:p w14:paraId="02C287FA"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打破学科分工壁垒，强化对现实社会生活的总体性判断，加强对复杂清静的分析能力，提高管理学理论与实践水平。</w:t>
      </w:r>
    </w:p>
    <w:p w14:paraId="49DA4997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 xml:space="preserve">.1  </w:t>
      </w:r>
      <w:r>
        <w:rPr>
          <w:rFonts w:hint="eastAsia" w:ascii="宋体" w:hAnsi="宋体" w:eastAsia="宋体"/>
          <w:szCs w:val="21"/>
        </w:rPr>
        <w:t>破学科分工壁垒，强化对现实社会生活的总体性判断。</w:t>
      </w:r>
    </w:p>
    <w:p w14:paraId="05780601"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 xml:space="preserve">.2  </w:t>
      </w:r>
      <w:r>
        <w:rPr>
          <w:rFonts w:hint="eastAsia" w:ascii="宋体" w:hAnsi="宋体" w:eastAsia="宋体"/>
          <w:szCs w:val="21"/>
        </w:rPr>
        <w:t>加强对复杂清静的分析能力，提高管理学理论与实践水平。</w:t>
      </w:r>
    </w:p>
    <w:p w14:paraId="26A88432"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sz w:val="24"/>
          <w:szCs w:val="24"/>
        </w:rPr>
      </w:pPr>
    </w:p>
    <w:p w14:paraId="352846BD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25A9F457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23EC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115511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59BDB02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045895B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630C597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2BC3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4956D09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251F64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1.1</w:t>
            </w:r>
          </w:p>
        </w:tc>
        <w:tc>
          <w:tcPr>
            <w:tcW w:w="3118" w:type="dxa"/>
            <w:vAlign w:val="center"/>
          </w:tcPr>
          <w:p w14:paraId="114F52D8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一、管理沟通概论</w:t>
            </w:r>
          </w:p>
          <w:p w14:paraId="65B76580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二、管理沟通策略</w:t>
            </w:r>
          </w:p>
          <w:p w14:paraId="6760D01A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3ECD09FF">
            <w:pPr>
              <w:spacing w:line="360" w:lineRule="auto"/>
              <w:rPr>
                <w:rFonts w:ascii="仿宋" w:hAnsi="仿宋" w:eastAsia="仿宋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2"/>
                <w:lang w:val="en-US" w:eastAsia="zh-CN" w:bidi="ar"/>
              </w:rPr>
              <w:t>对当代社会科学、人文科学、自然科学、思维科学的相关知识具有相当的把握，具有跨学科的宏大理论视野。</w:t>
            </w:r>
          </w:p>
        </w:tc>
      </w:tr>
      <w:tr w14:paraId="3361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382589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25726F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1.2</w:t>
            </w:r>
          </w:p>
        </w:tc>
        <w:tc>
          <w:tcPr>
            <w:tcW w:w="3118" w:type="dxa"/>
            <w:vAlign w:val="center"/>
          </w:tcPr>
          <w:p w14:paraId="1C36DE2F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三、纵向沟通</w:t>
            </w:r>
          </w:p>
          <w:p w14:paraId="45FEFED2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四、横向沟通</w:t>
            </w:r>
          </w:p>
          <w:p w14:paraId="09097636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五、绩效管理和沟通</w:t>
            </w:r>
          </w:p>
          <w:p w14:paraId="1AA78FFA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六、会议管理和沟通</w:t>
            </w:r>
          </w:p>
          <w:p w14:paraId="7CFD15E1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七、冲突管理和沟通</w:t>
            </w:r>
          </w:p>
          <w:p w14:paraId="0E7C60F8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八、组织文化管理和沟通</w:t>
            </w:r>
          </w:p>
          <w:p w14:paraId="42F66217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九、危机管理和沟通</w:t>
            </w:r>
          </w:p>
          <w:p w14:paraId="3C6E2A65">
            <w:pPr>
              <w:pStyle w:val="2"/>
              <w:spacing w:before="156" w:beforeLines="50" w:after="156" w:afterLines="50"/>
              <w:jc w:val="left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十、跨文化管理和沟通</w:t>
            </w:r>
          </w:p>
        </w:tc>
        <w:tc>
          <w:tcPr>
            <w:tcW w:w="2688" w:type="dxa"/>
            <w:vMerge w:val="continue"/>
            <w:vAlign w:val="center"/>
          </w:tcPr>
          <w:p w14:paraId="6BBAC44E"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C75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1302" w:type="dxa"/>
            <w:vMerge w:val="restart"/>
            <w:vAlign w:val="center"/>
          </w:tcPr>
          <w:p w14:paraId="0338551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FF33F5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58234B1B">
            <w:pPr>
              <w:pStyle w:val="2"/>
              <w:spacing w:before="156" w:beforeLines="50" w:after="156" w:afterLines="50"/>
              <w:ind w:firstLine="420" w:firstLineChars="200"/>
              <w:rPr>
                <w:rFonts w:hint="default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案例分析专题</w:t>
            </w:r>
          </w:p>
        </w:tc>
        <w:tc>
          <w:tcPr>
            <w:tcW w:w="2688" w:type="dxa"/>
            <w:vMerge w:val="restart"/>
            <w:vAlign w:val="center"/>
          </w:tcPr>
          <w:p w14:paraId="1FD308C6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2"/>
                <w:lang w:val="en-US" w:eastAsia="zh-CN" w:bidi="ar"/>
              </w:rPr>
              <w:t>具备相应的综合素质和职业素养，具有充分的就业能力和在相关岗位进一步发展的能力。</w:t>
            </w:r>
          </w:p>
        </w:tc>
      </w:tr>
      <w:tr w14:paraId="2A080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1302" w:type="dxa"/>
            <w:vMerge w:val="continue"/>
            <w:vAlign w:val="center"/>
          </w:tcPr>
          <w:p w14:paraId="28ADA0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0021E0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4E84E897">
            <w:pPr>
              <w:pStyle w:val="2"/>
              <w:spacing w:before="156" w:beforeLines="50" w:after="156" w:afterLines="50"/>
              <w:ind w:firstLine="420" w:firstLineChars="200"/>
              <w:rPr>
                <w:rFonts w:hint="default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案例分析专题</w:t>
            </w:r>
          </w:p>
        </w:tc>
        <w:tc>
          <w:tcPr>
            <w:tcW w:w="2688" w:type="dxa"/>
            <w:vMerge w:val="continue"/>
            <w:vAlign w:val="center"/>
          </w:tcPr>
          <w:p w14:paraId="424F625B"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  <w:tr w14:paraId="419B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1302" w:type="dxa"/>
            <w:vMerge w:val="restart"/>
            <w:vAlign w:val="center"/>
          </w:tcPr>
          <w:p w14:paraId="5962CC6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080B335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6DE3D3EC"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讲授专题</w:t>
            </w:r>
          </w:p>
          <w:p w14:paraId="6E4F8161">
            <w:pPr>
              <w:pStyle w:val="2"/>
              <w:spacing w:before="156" w:beforeLines="50" w:after="156" w:afterLines="50"/>
              <w:ind w:firstLine="420" w:firstLineChars="200"/>
              <w:rPr>
                <w:rFonts w:hint="default" w:hAnsi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案例分析专题</w:t>
            </w:r>
          </w:p>
        </w:tc>
        <w:tc>
          <w:tcPr>
            <w:tcW w:w="2688" w:type="dxa"/>
            <w:vMerge w:val="restart"/>
            <w:vAlign w:val="center"/>
          </w:tcPr>
          <w:p w14:paraId="2314DF98">
            <w:pPr>
              <w:spacing w:line="360" w:lineRule="auto"/>
              <w:rPr>
                <w:rFonts w:hint="eastAsia" w:ascii="仿宋_GB2312" w:hAnsi="宋体" w:eastAsia="仿宋_GB2312" w:cs="Times New Roman"/>
                <w:kern w:val="2"/>
                <w:sz w:val="21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2"/>
                <w:lang w:val="en-US" w:eastAsia="zh-CN" w:bidi="ar"/>
              </w:rPr>
              <w:t>对当代社会科学、人文科学、自然科学、思维科学的相关知识具有相当的把握，具有跨学科的宏大理论视野。</w:t>
            </w:r>
          </w:p>
          <w:p w14:paraId="1851A606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2"/>
                <w:lang w:val="en-US" w:eastAsia="zh-CN" w:bidi="ar"/>
              </w:rPr>
              <w:t>具备相应的综合素质和职业素养，具有充分的就业能力和在相关岗位进一步发展的能力。</w:t>
            </w:r>
          </w:p>
        </w:tc>
      </w:tr>
      <w:tr w14:paraId="2C0C5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1302" w:type="dxa"/>
            <w:vMerge w:val="continue"/>
            <w:vAlign w:val="center"/>
          </w:tcPr>
          <w:p w14:paraId="3C6AE90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144893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1994C8BF"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讲授专题</w:t>
            </w:r>
          </w:p>
          <w:p w14:paraId="61C75EF3"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案例分析专题</w:t>
            </w:r>
          </w:p>
        </w:tc>
        <w:tc>
          <w:tcPr>
            <w:tcW w:w="2688" w:type="dxa"/>
            <w:vMerge w:val="continue"/>
            <w:vAlign w:val="center"/>
          </w:tcPr>
          <w:p w14:paraId="7D92CACF"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</w:tbl>
    <w:p w14:paraId="0F73EDA0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</w:p>
    <w:p w14:paraId="4E770A9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003632A4"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讲授专题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】</w:t>
      </w:r>
    </w:p>
    <w:p w14:paraId="7CB0C19B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一、管理沟通概论</w:t>
      </w:r>
    </w:p>
    <w:p w14:paraId="67D79F7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1、管理和管理沟通</w:t>
      </w:r>
    </w:p>
    <w:p w14:paraId="05F5619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2、管理沟通的发展</w:t>
      </w:r>
    </w:p>
    <w:p w14:paraId="1EA0D6C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3、管理沟通的价值</w:t>
      </w:r>
    </w:p>
    <w:p w14:paraId="011CC08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4、管理沟通的学习方法</w:t>
      </w:r>
    </w:p>
    <w:p w14:paraId="50497737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3A68CE52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二、管理沟通策略</w:t>
      </w:r>
    </w:p>
    <w:p w14:paraId="193FE82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1、管理沟通的目标</w:t>
      </w:r>
    </w:p>
    <w:p w14:paraId="127C4BF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2、组织、管理者和沟通</w:t>
      </w:r>
    </w:p>
    <w:p w14:paraId="0BA680F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3、管理沟通的类型</w:t>
      </w:r>
    </w:p>
    <w:p w14:paraId="1D4749C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4、管理沟通的策略</w:t>
      </w:r>
    </w:p>
    <w:p w14:paraId="39269CCC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F4A3975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三、纵向沟通</w:t>
      </w:r>
    </w:p>
    <w:p w14:paraId="22D9116A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1、组织层级和沟通</w:t>
      </w:r>
    </w:p>
    <w:p w14:paraId="34D087B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2、纵向沟通的影响因素</w:t>
      </w:r>
    </w:p>
    <w:p w14:paraId="2579BE2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3、纵向沟通的策略</w:t>
      </w:r>
    </w:p>
    <w:p w14:paraId="235DB9C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4、纵向沟通的价值</w:t>
      </w:r>
    </w:p>
    <w:p w14:paraId="5D06603D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05493C7B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四、横向沟通</w:t>
      </w:r>
    </w:p>
    <w:p w14:paraId="4DAB297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1、横向沟通概述</w:t>
      </w:r>
    </w:p>
    <w:p w14:paraId="02EEA47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2、横向沟通的影响因素</w:t>
      </w:r>
    </w:p>
    <w:p w14:paraId="7982AF6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3、横向沟通：问题和分析</w:t>
      </w:r>
    </w:p>
    <w:p w14:paraId="46970A2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4、横向沟通的策略</w:t>
      </w:r>
    </w:p>
    <w:p w14:paraId="3F752641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65CEE928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五、绩效管理和沟通</w:t>
      </w:r>
    </w:p>
    <w:p w14:paraId="5DCC08CA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1、绩效管理</w:t>
      </w:r>
    </w:p>
    <w:p w14:paraId="5DAD95B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2、绩效沟通：问题和分析</w:t>
      </w:r>
    </w:p>
    <w:p w14:paraId="4FD80D7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3、绩效沟通的策略</w:t>
      </w:r>
    </w:p>
    <w:p w14:paraId="7CCEC0B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4、绩效管理和沟通的趋势</w:t>
      </w:r>
    </w:p>
    <w:p w14:paraId="4071887A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7598449B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六、会议管理和沟通</w:t>
      </w:r>
    </w:p>
    <w:p w14:paraId="3738F10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1、会议和会议管理</w:t>
      </w:r>
    </w:p>
    <w:p w14:paraId="14CC9B0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2、群体沟通和会议沟通</w:t>
      </w:r>
    </w:p>
    <w:p w14:paraId="6225CE1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3、会议沟通的过程管理</w:t>
      </w:r>
    </w:p>
    <w:p w14:paraId="3AD527F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4、会议沟通的策略</w:t>
      </w:r>
    </w:p>
    <w:p w14:paraId="4BC6A402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47D26AD8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七、冲突管理和沟通</w:t>
      </w:r>
    </w:p>
    <w:p w14:paraId="118A592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1、冲突</w:t>
      </w:r>
    </w:p>
    <w:p w14:paraId="1813CB0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2、冲突管理</w:t>
      </w:r>
    </w:p>
    <w:p w14:paraId="72ADF25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3、冲突和沟通</w:t>
      </w:r>
    </w:p>
    <w:p w14:paraId="3B4B0128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4、整合思维和冲突沟通</w:t>
      </w:r>
    </w:p>
    <w:p w14:paraId="79785590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92C8026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八、组织文化管理和沟通</w:t>
      </w:r>
    </w:p>
    <w:p w14:paraId="70703D2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1、组织文化</w:t>
      </w:r>
    </w:p>
    <w:p w14:paraId="4D4965D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2、组织文化和沟通</w:t>
      </w:r>
    </w:p>
    <w:p w14:paraId="688CB8B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3、不同阶段企业的文化和沟通</w:t>
      </w:r>
    </w:p>
    <w:p w14:paraId="6E8E07F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4、组织文化沟通和领导力</w:t>
      </w:r>
    </w:p>
    <w:p w14:paraId="6AB10365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26B3179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九、危机管理和沟通</w:t>
      </w:r>
    </w:p>
    <w:p w14:paraId="6780916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1、危机和危机管理</w:t>
      </w:r>
    </w:p>
    <w:p w14:paraId="547B7B3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2、危机沟通原理</w:t>
      </w:r>
    </w:p>
    <w:p w14:paraId="362C9F7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3、危机沟通的策略</w:t>
      </w:r>
    </w:p>
    <w:p w14:paraId="1BF4BAD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4、危机沟通与组织形象修复</w:t>
      </w:r>
    </w:p>
    <w:p w14:paraId="112E144D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78420677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十、跨文化管理和沟通</w:t>
      </w:r>
    </w:p>
    <w:p w14:paraId="796D609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1、跨文化管理</w:t>
      </w:r>
    </w:p>
    <w:p w14:paraId="5D0E8F7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2、跨文化沟通</w:t>
      </w:r>
    </w:p>
    <w:p w14:paraId="443C9A93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3、跨文化沟通的策略</w:t>
      </w:r>
    </w:p>
    <w:p w14:paraId="5E5F0DBB"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4、跨文化沟通能力</w:t>
      </w:r>
    </w:p>
    <w:p w14:paraId="2B0C9F5F"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sz w:val="24"/>
          <w:szCs w:val="24"/>
        </w:rPr>
      </w:pPr>
    </w:p>
    <w:p w14:paraId="1E0A5CAD"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案例分析专题</w:t>
      </w:r>
      <w:r>
        <w:rPr>
          <w:rFonts w:hint="eastAsia" w:ascii="宋体" w:hAnsi="宋体" w:eastAsia="宋体"/>
          <w:sz w:val="24"/>
          <w:szCs w:val="24"/>
          <w:lang w:eastAsia="zh-CN"/>
        </w:rPr>
        <w:t>】</w:t>
      </w:r>
    </w:p>
    <w:p w14:paraId="0A63E8D5"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 w14:paraId="24620FA3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749740BB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2609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7FBDEC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34E16DC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23E705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  <w:p w14:paraId="0F5EB7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</w:tr>
      <w:tr w14:paraId="14BA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B375E78">
            <w:pPr>
              <w:spacing w:line="360" w:lineRule="auto"/>
              <w:rPr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一、管理沟通概论</w:t>
            </w:r>
          </w:p>
        </w:tc>
        <w:tc>
          <w:tcPr>
            <w:tcW w:w="2765" w:type="dxa"/>
            <w:vAlign w:val="center"/>
          </w:tcPr>
          <w:p w14:paraId="128912D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1、管理和管理沟通</w:t>
            </w:r>
          </w:p>
          <w:p w14:paraId="6CCF00C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2、管理沟通的发展</w:t>
            </w:r>
          </w:p>
          <w:p w14:paraId="5586F99D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3、管理沟通的价值</w:t>
            </w:r>
          </w:p>
          <w:p w14:paraId="2DC94DF7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4、管理沟通的学习方法</w:t>
            </w:r>
          </w:p>
        </w:tc>
        <w:tc>
          <w:tcPr>
            <w:tcW w:w="2766" w:type="dxa"/>
            <w:vAlign w:val="center"/>
          </w:tcPr>
          <w:p w14:paraId="739193ED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373C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2825644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二、管理沟通策略</w:t>
            </w:r>
          </w:p>
          <w:p w14:paraId="122B3340">
            <w:pPr>
              <w:spacing w:line="360" w:lineRule="auto"/>
              <w:ind w:firstLine="480" w:firstLineChars="200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38682A1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1、管理沟通的目标</w:t>
            </w:r>
          </w:p>
          <w:p w14:paraId="2E3B500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2、组织、管理者和沟通</w:t>
            </w:r>
          </w:p>
          <w:p w14:paraId="046F02C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3、管理沟通的类型</w:t>
            </w:r>
          </w:p>
          <w:p w14:paraId="6794E087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4、管理沟通的策略</w:t>
            </w:r>
          </w:p>
        </w:tc>
        <w:tc>
          <w:tcPr>
            <w:tcW w:w="2766" w:type="dxa"/>
            <w:vAlign w:val="center"/>
          </w:tcPr>
          <w:p w14:paraId="322B35BA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1C021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27F1F22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三、纵向沟通</w:t>
            </w:r>
          </w:p>
          <w:p w14:paraId="178C08BA">
            <w:pPr>
              <w:widowControl/>
              <w:spacing w:before="156" w:beforeLines="50" w:after="156" w:afterLines="50"/>
              <w:ind w:firstLine="480" w:firstLineChars="200"/>
              <w:jc w:val="left"/>
              <w:rPr>
                <w:rFonts w:ascii="黑体" w:hAnsi="黑体" w:eastAsia="黑体" w:cs="TimesNewRomanPSMT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2EE5344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1、组织层级和沟通</w:t>
            </w:r>
          </w:p>
          <w:p w14:paraId="75C66E2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2、纵向沟通的影响因素</w:t>
            </w:r>
          </w:p>
          <w:p w14:paraId="7D90CF8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3、纵向沟通的策略</w:t>
            </w:r>
          </w:p>
          <w:p w14:paraId="0F3B0D9A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4、纵向沟通的价值</w:t>
            </w:r>
          </w:p>
        </w:tc>
        <w:tc>
          <w:tcPr>
            <w:tcW w:w="2766" w:type="dxa"/>
            <w:vAlign w:val="center"/>
          </w:tcPr>
          <w:p w14:paraId="4FBAE182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3F849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66B2512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四、横向沟通</w:t>
            </w:r>
          </w:p>
          <w:p w14:paraId="33CA17E8">
            <w:pPr>
              <w:widowControl/>
              <w:spacing w:before="156" w:beforeLines="50" w:after="156" w:afterLines="50"/>
              <w:ind w:firstLine="480" w:firstLineChars="200"/>
              <w:jc w:val="lef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5CF3178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1、横向沟通概述</w:t>
            </w:r>
          </w:p>
          <w:p w14:paraId="53D0B24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2、横向沟通的影响因素</w:t>
            </w:r>
          </w:p>
          <w:p w14:paraId="54B01E2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3、横向沟通：问题和分析</w:t>
            </w:r>
          </w:p>
          <w:p w14:paraId="62581192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4、横向沟通的策略</w:t>
            </w:r>
          </w:p>
        </w:tc>
        <w:tc>
          <w:tcPr>
            <w:tcW w:w="2766" w:type="dxa"/>
            <w:vAlign w:val="center"/>
          </w:tcPr>
          <w:p w14:paraId="23A66C6F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00E4E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1A17AD1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五、绩效管理和沟通</w:t>
            </w:r>
          </w:p>
          <w:p w14:paraId="150BB962">
            <w:pPr>
              <w:widowControl/>
              <w:spacing w:before="156" w:beforeLines="50" w:after="156" w:afterLines="50"/>
              <w:ind w:firstLine="480" w:firstLineChars="200"/>
              <w:jc w:val="left"/>
              <w:rPr>
                <w:rFonts w:ascii="黑体" w:hAnsi="黑体" w:eastAsia="黑体" w:cs="TimesNewRomanPSMT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38B52F6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1、绩效管理</w:t>
            </w:r>
          </w:p>
          <w:p w14:paraId="1AE8F14C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2、绩效沟通：问题和分析</w:t>
            </w:r>
          </w:p>
          <w:p w14:paraId="7E13C5EF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3、绩效沟通的策略</w:t>
            </w:r>
          </w:p>
          <w:p w14:paraId="1DFE46FE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4、绩效管理和沟通的趋势</w:t>
            </w:r>
          </w:p>
        </w:tc>
        <w:tc>
          <w:tcPr>
            <w:tcW w:w="2766" w:type="dxa"/>
            <w:vAlign w:val="center"/>
          </w:tcPr>
          <w:p w14:paraId="0DCF27F1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28D4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5037CEC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六、会议管理和沟通</w:t>
            </w:r>
          </w:p>
          <w:p w14:paraId="4DD16837">
            <w:pPr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1055DE94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1、会议和会议管理</w:t>
            </w:r>
          </w:p>
          <w:p w14:paraId="64988E8F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2、群体沟通和会议沟通</w:t>
            </w:r>
          </w:p>
          <w:p w14:paraId="11C527F2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3、会议沟通的过程管理</w:t>
            </w:r>
          </w:p>
          <w:p w14:paraId="04355FB9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4、会议沟通的策略</w:t>
            </w:r>
          </w:p>
        </w:tc>
        <w:tc>
          <w:tcPr>
            <w:tcW w:w="2766" w:type="dxa"/>
            <w:vAlign w:val="center"/>
          </w:tcPr>
          <w:p w14:paraId="5AB853D6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1E10E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65" w:type="dxa"/>
            <w:vAlign w:val="center"/>
          </w:tcPr>
          <w:p w14:paraId="62A790A3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七、冲突管理和沟通</w:t>
            </w:r>
          </w:p>
          <w:p w14:paraId="52AB7170">
            <w:pPr>
              <w:spacing w:line="360" w:lineRule="auto"/>
              <w:ind w:firstLine="420" w:firstLineChars="200"/>
              <w:jc w:val="left"/>
              <w:rPr>
                <w:rFonts w:ascii="宋体" w:hAnsi="宋体" w:eastAsia="宋体"/>
              </w:rPr>
            </w:pPr>
          </w:p>
        </w:tc>
        <w:tc>
          <w:tcPr>
            <w:tcW w:w="2765" w:type="dxa"/>
            <w:vAlign w:val="center"/>
          </w:tcPr>
          <w:p w14:paraId="0F25B6C1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1、冲突</w:t>
            </w:r>
          </w:p>
          <w:p w14:paraId="0FDA783E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2、冲突管理</w:t>
            </w:r>
          </w:p>
          <w:p w14:paraId="14CAA4C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3、冲突和沟通</w:t>
            </w:r>
          </w:p>
          <w:p w14:paraId="395F2F17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4、整合思维和冲突沟通</w:t>
            </w:r>
          </w:p>
        </w:tc>
        <w:tc>
          <w:tcPr>
            <w:tcW w:w="2766" w:type="dxa"/>
            <w:vAlign w:val="center"/>
          </w:tcPr>
          <w:p w14:paraId="7334C5CB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76BB6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  <w:jc w:val="center"/>
        </w:trPr>
        <w:tc>
          <w:tcPr>
            <w:tcW w:w="2765" w:type="dxa"/>
            <w:vAlign w:val="center"/>
          </w:tcPr>
          <w:p w14:paraId="168547C8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八、组织文化管理和沟通</w:t>
            </w:r>
          </w:p>
          <w:p w14:paraId="39DB2F5C">
            <w:pPr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64744260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1、组织文化</w:t>
            </w:r>
          </w:p>
          <w:p w14:paraId="54E8B30D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2、组织文化和沟通</w:t>
            </w:r>
          </w:p>
          <w:p w14:paraId="1A63544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3、不同阶段企业的文化和沟通</w:t>
            </w:r>
          </w:p>
          <w:p w14:paraId="315E9BE0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4、组织文化沟通和领导力</w:t>
            </w:r>
          </w:p>
        </w:tc>
        <w:tc>
          <w:tcPr>
            <w:tcW w:w="2766" w:type="dxa"/>
            <w:vAlign w:val="center"/>
          </w:tcPr>
          <w:p w14:paraId="0D7BBBED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406A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65" w:type="dxa"/>
            <w:vAlign w:val="center"/>
          </w:tcPr>
          <w:p w14:paraId="24D146DA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九、危机管理和沟通</w:t>
            </w:r>
          </w:p>
          <w:p w14:paraId="78D0E38F">
            <w:pPr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3C20B16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1、危机和危机管理</w:t>
            </w:r>
          </w:p>
          <w:p w14:paraId="6B77894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2、危机沟通原理</w:t>
            </w:r>
          </w:p>
          <w:p w14:paraId="0C9D629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3、危机沟通的策略</w:t>
            </w:r>
          </w:p>
          <w:p w14:paraId="1AB54C6F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4、危机沟通与组织形象修复</w:t>
            </w:r>
          </w:p>
        </w:tc>
        <w:tc>
          <w:tcPr>
            <w:tcW w:w="2766" w:type="dxa"/>
            <w:vAlign w:val="center"/>
          </w:tcPr>
          <w:p w14:paraId="72E56CBF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39A6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2765" w:type="dxa"/>
            <w:vAlign w:val="center"/>
          </w:tcPr>
          <w:p w14:paraId="621D6848">
            <w:pPr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十、跨文化管理和沟通</w:t>
            </w:r>
          </w:p>
          <w:p w14:paraId="2C662A62">
            <w:pPr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14:paraId="715519F9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1、跨文化管理</w:t>
            </w:r>
          </w:p>
          <w:p w14:paraId="40CDD05D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2、跨文化沟通</w:t>
            </w:r>
          </w:p>
          <w:p w14:paraId="47A35A76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3、跨文化沟通的策略</w:t>
            </w:r>
          </w:p>
          <w:p w14:paraId="2FE3E306">
            <w:pPr>
              <w:spacing w:line="360" w:lineRule="auto"/>
              <w:rPr>
                <w:rFonts w:ascii="宋体" w:hAnsi="宋体" w:eastAsia="宋体" w:cs="TimesNewRomanPSMT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4、跨文化沟通能力</w:t>
            </w:r>
          </w:p>
        </w:tc>
        <w:tc>
          <w:tcPr>
            <w:tcW w:w="2766" w:type="dxa"/>
            <w:vAlign w:val="center"/>
          </w:tcPr>
          <w:p w14:paraId="38046B0A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0EF8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2765" w:type="dxa"/>
            <w:vAlign w:val="center"/>
          </w:tcPr>
          <w:p w14:paraId="2920F3D6">
            <w:pPr>
              <w:spacing w:line="360" w:lineRule="auto"/>
              <w:ind w:firstLine="482" w:firstLineChars="200"/>
              <w:jc w:val="left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案例分析专题</w:t>
            </w:r>
          </w:p>
        </w:tc>
        <w:tc>
          <w:tcPr>
            <w:tcW w:w="2765" w:type="dxa"/>
            <w:vAlign w:val="center"/>
          </w:tcPr>
          <w:p w14:paraId="5FE72F95">
            <w:pPr>
              <w:widowControl/>
              <w:spacing w:before="156" w:beforeLines="50" w:after="156" w:afterLines="50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案例（1）—（10）</w:t>
            </w:r>
          </w:p>
        </w:tc>
        <w:tc>
          <w:tcPr>
            <w:tcW w:w="2766" w:type="dxa"/>
            <w:vAlign w:val="center"/>
          </w:tcPr>
          <w:p w14:paraId="70E203BF">
            <w:pPr>
              <w:widowControl/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24</w:t>
            </w:r>
          </w:p>
        </w:tc>
      </w:tr>
    </w:tbl>
    <w:p w14:paraId="74A72785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5B49935F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67EB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6C01C9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46A5796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1302B0E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4F3A6FA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11855BC3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06D4EB6B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048DA0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1D9F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4647A1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929" w:type="dxa"/>
            <w:vAlign w:val="center"/>
          </w:tcPr>
          <w:p w14:paraId="58A087D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7FD4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管理沟通概论</w:t>
            </w:r>
          </w:p>
        </w:tc>
        <w:tc>
          <w:tcPr>
            <w:tcW w:w="1145" w:type="dxa"/>
            <w:vAlign w:val="center"/>
          </w:tcPr>
          <w:p w14:paraId="5A48022F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1、管理和管理沟通</w:t>
            </w:r>
          </w:p>
          <w:p w14:paraId="38D7AFC6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2、管理沟通的发展</w:t>
            </w:r>
          </w:p>
          <w:p w14:paraId="636BDB4C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3、管理沟通的价值</w:t>
            </w:r>
          </w:p>
          <w:p w14:paraId="31452576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4、管理沟通的学习方法</w:t>
            </w:r>
          </w:p>
        </w:tc>
        <w:tc>
          <w:tcPr>
            <w:tcW w:w="1145" w:type="dxa"/>
            <w:vAlign w:val="center"/>
          </w:tcPr>
          <w:p w14:paraId="6E34BF1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6D2380D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931AFD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316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65C1A2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29" w:type="dxa"/>
            <w:vAlign w:val="center"/>
          </w:tcPr>
          <w:p w14:paraId="47379A9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5F935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管理沟通策略</w:t>
            </w:r>
          </w:p>
        </w:tc>
        <w:tc>
          <w:tcPr>
            <w:tcW w:w="1145" w:type="dxa"/>
            <w:vAlign w:val="center"/>
          </w:tcPr>
          <w:p w14:paraId="164647F3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1、管理沟通的目标</w:t>
            </w:r>
          </w:p>
          <w:p w14:paraId="692A304D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2、组织、管理者和沟通</w:t>
            </w:r>
          </w:p>
          <w:p w14:paraId="7F0237EA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3、管理沟通的类型</w:t>
            </w:r>
          </w:p>
          <w:p w14:paraId="741B69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4、管理沟通的策略</w:t>
            </w:r>
          </w:p>
        </w:tc>
        <w:tc>
          <w:tcPr>
            <w:tcW w:w="1145" w:type="dxa"/>
            <w:vAlign w:val="center"/>
          </w:tcPr>
          <w:p w14:paraId="7A39360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76909C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AED678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D0A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76EDBE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929" w:type="dxa"/>
            <w:vAlign w:val="center"/>
          </w:tcPr>
          <w:p w14:paraId="5ABADBF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F5B14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纵向沟通</w:t>
            </w:r>
          </w:p>
        </w:tc>
        <w:tc>
          <w:tcPr>
            <w:tcW w:w="1145" w:type="dxa"/>
            <w:vAlign w:val="center"/>
          </w:tcPr>
          <w:p w14:paraId="799CD656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1、组织层级和沟通</w:t>
            </w:r>
          </w:p>
          <w:p w14:paraId="528816BD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2、纵向沟通的影响因素</w:t>
            </w:r>
          </w:p>
          <w:p w14:paraId="043F9858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3、纵向沟通的策略</w:t>
            </w:r>
          </w:p>
          <w:p w14:paraId="6CFC5744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4、纵向沟通的价值</w:t>
            </w:r>
          </w:p>
        </w:tc>
        <w:tc>
          <w:tcPr>
            <w:tcW w:w="1145" w:type="dxa"/>
            <w:vAlign w:val="center"/>
          </w:tcPr>
          <w:p w14:paraId="2025C17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312BE37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66FFFF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9470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061AB6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929" w:type="dxa"/>
            <w:vAlign w:val="center"/>
          </w:tcPr>
          <w:p w14:paraId="52D744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5C6E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横向沟通</w:t>
            </w:r>
          </w:p>
        </w:tc>
        <w:tc>
          <w:tcPr>
            <w:tcW w:w="1145" w:type="dxa"/>
            <w:vAlign w:val="center"/>
          </w:tcPr>
          <w:p w14:paraId="7291A79F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1、横向沟通概述</w:t>
            </w:r>
          </w:p>
          <w:p w14:paraId="27F97243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2、横向沟通的影响因素</w:t>
            </w:r>
          </w:p>
          <w:p w14:paraId="46695044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3、横向沟通：问题和分析</w:t>
            </w:r>
          </w:p>
          <w:p w14:paraId="5097D0F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4、横向沟通的策略</w:t>
            </w:r>
          </w:p>
        </w:tc>
        <w:tc>
          <w:tcPr>
            <w:tcW w:w="1145" w:type="dxa"/>
            <w:vAlign w:val="center"/>
          </w:tcPr>
          <w:p w14:paraId="6DA3AA8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2040C23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1662B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085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7457F6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929" w:type="dxa"/>
            <w:vAlign w:val="center"/>
          </w:tcPr>
          <w:p w14:paraId="3CFE2C1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438AB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绩效管理和沟通</w:t>
            </w:r>
          </w:p>
        </w:tc>
        <w:tc>
          <w:tcPr>
            <w:tcW w:w="1145" w:type="dxa"/>
            <w:vAlign w:val="center"/>
          </w:tcPr>
          <w:p w14:paraId="45AB5005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1、绩效管理</w:t>
            </w:r>
          </w:p>
          <w:p w14:paraId="18360244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2、绩效沟通：问题和分析</w:t>
            </w:r>
          </w:p>
          <w:p w14:paraId="0C8B4637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3、绩效沟通的策略</w:t>
            </w:r>
          </w:p>
          <w:p w14:paraId="5BBE0AE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4、绩效管理和沟通的趋势</w:t>
            </w:r>
          </w:p>
        </w:tc>
        <w:tc>
          <w:tcPr>
            <w:tcW w:w="1145" w:type="dxa"/>
            <w:vAlign w:val="center"/>
          </w:tcPr>
          <w:p w14:paraId="1D0EF08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7DD9107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C7C7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6EA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97E961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 w14:paraId="4184266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DE5386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会议管理和沟通</w:t>
            </w:r>
          </w:p>
        </w:tc>
        <w:tc>
          <w:tcPr>
            <w:tcW w:w="1145" w:type="dxa"/>
            <w:vAlign w:val="center"/>
          </w:tcPr>
          <w:p w14:paraId="4793C7E0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1、会议和会议管理</w:t>
            </w:r>
          </w:p>
          <w:p w14:paraId="0E4B51D4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2、群体沟通和会议沟通</w:t>
            </w:r>
          </w:p>
          <w:p w14:paraId="39376589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3、会议沟通的过程管理</w:t>
            </w:r>
          </w:p>
          <w:p w14:paraId="61F8A0D5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4、会议沟通的策略</w:t>
            </w:r>
          </w:p>
        </w:tc>
        <w:tc>
          <w:tcPr>
            <w:tcW w:w="1145" w:type="dxa"/>
            <w:vAlign w:val="center"/>
          </w:tcPr>
          <w:p w14:paraId="30099EE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351E9B4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E1BDFA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986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B72CD0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929" w:type="dxa"/>
            <w:vAlign w:val="center"/>
          </w:tcPr>
          <w:p w14:paraId="3D39F9A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2E8BF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冲突管理和沟通</w:t>
            </w:r>
          </w:p>
        </w:tc>
        <w:tc>
          <w:tcPr>
            <w:tcW w:w="1145" w:type="dxa"/>
            <w:vAlign w:val="center"/>
          </w:tcPr>
          <w:p w14:paraId="257498A9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1、冲突</w:t>
            </w:r>
          </w:p>
          <w:p w14:paraId="612FCC4C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2、冲突管理</w:t>
            </w:r>
          </w:p>
          <w:p w14:paraId="686147BE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3、冲突和沟通</w:t>
            </w:r>
          </w:p>
          <w:p w14:paraId="597477D9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4、整合思维和冲突沟通</w:t>
            </w:r>
          </w:p>
        </w:tc>
        <w:tc>
          <w:tcPr>
            <w:tcW w:w="1145" w:type="dxa"/>
            <w:vAlign w:val="center"/>
          </w:tcPr>
          <w:p w14:paraId="53E6CE2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6DF49EE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3CAAA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367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97311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929" w:type="dxa"/>
            <w:vAlign w:val="center"/>
          </w:tcPr>
          <w:p w14:paraId="0BB4C16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06CB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组织文化管理和沟通</w:t>
            </w:r>
          </w:p>
        </w:tc>
        <w:tc>
          <w:tcPr>
            <w:tcW w:w="1145" w:type="dxa"/>
            <w:vAlign w:val="center"/>
          </w:tcPr>
          <w:p w14:paraId="727FBA53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1、组织文化</w:t>
            </w:r>
          </w:p>
          <w:p w14:paraId="48F94EF8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2、组织文化和沟通</w:t>
            </w:r>
          </w:p>
          <w:p w14:paraId="3ED2C967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3、不同阶段企业的文化和沟通</w:t>
            </w:r>
          </w:p>
          <w:p w14:paraId="7A7DCECC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4、组织文化沟通和领导力</w:t>
            </w:r>
          </w:p>
        </w:tc>
        <w:tc>
          <w:tcPr>
            <w:tcW w:w="1145" w:type="dxa"/>
            <w:vAlign w:val="center"/>
          </w:tcPr>
          <w:p w14:paraId="6524B56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4ED4A6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B2227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EB9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B47748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929" w:type="dxa"/>
            <w:vAlign w:val="center"/>
          </w:tcPr>
          <w:p w14:paraId="561090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E2460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危机管理和沟通</w:t>
            </w:r>
          </w:p>
        </w:tc>
        <w:tc>
          <w:tcPr>
            <w:tcW w:w="1145" w:type="dxa"/>
            <w:vAlign w:val="center"/>
          </w:tcPr>
          <w:p w14:paraId="47BED3A8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1、危机和危机管理</w:t>
            </w:r>
          </w:p>
          <w:p w14:paraId="1D7DDC57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2、危机沟通原理</w:t>
            </w:r>
          </w:p>
          <w:p w14:paraId="7869AB39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3、危机沟通的策略</w:t>
            </w:r>
          </w:p>
          <w:p w14:paraId="377ACA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4、危机沟通与组织形象修复</w:t>
            </w:r>
          </w:p>
        </w:tc>
        <w:tc>
          <w:tcPr>
            <w:tcW w:w="1145" w:type="dxa"/>
            <w:vAlign w:val="center"/>
          </w:tcPr>
          <w:p w14:paraId="143AD94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50619B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CE3E9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A4B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361D06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 w14:paraId="3BD848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45E3F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</w:rPr>
              <w:t>跨文化管理和沟通</w:t>
            </w:r>
          </w:p>
        </w:tc>
        <w:tc>
          <w:tcPr>
            <w:tcW w:w="1145" w:type="dxa"/>
            <w:vAlign w:val="center"/>
          </w:tcPr>
          <w:p w14:paraId="0411AD2B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1、跨文化管理</w:t>
            </w:r>
          </w:p>
          <w:p w14:paraId="63539D5C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2、跨文化沟通</w:t>
            </w:r>
          </w:p>
          <w:p w14:paraId="69485AC5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3、跨文化沟通的策略</w:t>
            </w:r>
          </w:p>
          <w:p w14:paraId="5E3DDC54"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4、跨文化沟通能力</w:t>
            </w:r>
          </w:p>
        </w:tc>
        <w:tc>
          <w:tcPr>
            <w:tcW w:w="1145" w:type="dxa"/>
            <w:vAlign w:val="center"/>
          </w:tcPr>
          <w:p w14:paraId="7ECA227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0F3195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7B6045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B48A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8EE308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11-18</w:t>
            </w:r>
          </w:p>
        </w:tc>
        <w:tc>
          <w:tcPr>
            <w:tcW w:w="929" w:type="dxa"/>
            <w:vAlign w:val="center"/>
          </w:tcPr>
          <w:p w14:paraId="4CEF163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092D10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案例分析专题</w:t>
            </w:r>
          </w:p>
        </w:tc>
        <w:tc>
          <w:tcPr>
            <w:tcW w:w="1145" w:type="dxa"/>
            <w:vAlign w:val="center"/>
          </w:tcPr>
          <w:p w14:paraId="445240B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案例分析（1）—（10）</w:t>
            </w:r>
          </w:p>
        </w:tc>
        <w:tc>
          <w:tcPr>
            <w:tcW w:w="1145" w:type="dxa"/>
            <w:vAlign w:val="center"/>
          </w:tcPr>
          <w:p w14:paraId="4CCDF3E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24</w:t>
            </w:r>
          </w:p>
        </w:tc>
        <w:tc>
          <w:tcPr>
            <w:tcW w:w="1386" w:type="dxa"/>
            <w:vAlign w:val="center"/>
          </w:tcPr>
          <w:p w14:paraId="5D5F8E4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C06C0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7FC1B89C"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</w:p>
    <w:p w14:paraId="4992A5E4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2AA88CA1">
      <w:pPr>
        <w:spacing w:line="36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、彼得·德鲁克：《卓有成效的管理者》，北京：机械工业出版社，2</w:t>
      </w:r>
      <w:r>
        <w:rPr>
          <w:rFonts w:ascii="宋体" w:hAnsi="宋体" w:eastAsia="宋体"/>
          <w:sz w:val="21"/>
          <w:szCs w:val="21"/>
        </w:rPr>
        <w:t>005</w:t>
      </w:r>
      <w:r>
        <w:rPr>
          <w:rFonts w:hint="eastAsia" w:ascii="宋体" w:hAnsi="宋体" w:eastAsia="宋体"/>
          <w:sz w:val="21"/>
          <w:szCs w:val="21"/>
        </w:rPr>
        <w:t>年</w:t>
      </w:r>
    </w:p>
    <w:p w14:paraId="3EFB4C5A">
      <w:pPr>
        <w:spacing w:line="36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2、卡尔·维克：《组织社会心理学》，北京：中国人民大学出版社，2</w:t>
      </w:r>
      <w:r>
        <w:rPr>
          <w:rFonts w:ascii="宋体" w:hAnsi="宋体" w:eastAsia="宋体"/>
          <w:sz w:val="21"/>
          <w:szCs w:val="21"/>
        </w:rPr>
        <w:t>009</w:t>
      </w:r>
      <w:r>
        <w:rPr>
          <w:rFonts w:hint="eastAsia" w:ascii="宋体" w:hAnsi="宋体" w:eastAsia="宋体"/>
          <w:sz w:val="21"/>
          <w:szCs w:val="21"/>
        </w:rPr>
        <w:t>年</w:t>
      </w:r>
    </w:p>
    <w:p w14:paraId="39D3B70B">
      <w:pPr>
        <w:spacing w:line="36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、埃德加·沙因：《组织文化与领导力》（第4版），北京：中国人民大学出版社，2</w:t>
      </w:r>
      <w:r>
        <w:rPr>
          <w:rFonts w:ascii="宋体" w:hAnsi="宋体" w:eastAsia="宋体"/>
          <w:sz w:val="21"/>
          <w:szCs w:val="21"/>
        </w:rPr>
        <w:t>014</w:t>
      </w:r>
      <w:r>
        <w:rPr>
          <w:rFonts w:hint="eastAsia" w:ascii="宋体" w:hAnsi="宋体" w:eastAsia="宋体"/>
          <w:sz w:val="21"/>
          <w:szCs w:val="21"/>
        </w:rPr>
        <w:t>年</w:t>
      </w:r>
    </w:p>
    <w:p w14:paraId="157C624C">
      <w:pPr>
        <w:spacing w:line="36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4、冯云霞等：《管理沟通》，北京：中国人民大学出版社，2</w:t>
      </w:r>
      <w:r>
        <w:rPr>
          <w:rFonts w:ascii="宋体" w:hAnsi="宋体" w:eastAsia="宋体"/>
          <w:sz w:val="21"/>
          <w:szCs w:val="21"/>
        </w:rPr>
        <w:t>020</w:t>
      </w:r>
      <w:r>
        <w:rPr>
          <w:rFonts w:hint="eastAsia" w:ascii="宋体" w:hAnsi="宋体" w:eastAsia="宋体"/>
          <w:sz w:val="21"/>
          <w:szCs w:val="21"/>
        </w:rPr>
        <w:t>年</w:t>
      </w:r>
    </w:p>
    <w:p w14:paraId="041AECDB">
      <w:pPr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5、魏江等：《管理沟通》（第四版），北京：机械工业出版社，2</w:t>
      </w:r>
      <w:r>
        <w:rPr>
          <w:rFonts w:ascii="宋体" w:hAnsi="宋体" w:eastAsia="宋体"/>
          <w:sz w:val="21"/>
          <w:szCs w:val="21"/>
        </w:rPr>
        <w:t>020</w:t>
      </w:r>
      <w:r>
        <w:rPr>
          <w:rFonts w:hint="eastAsia" w:ascii="宋体" w:hAnsi="宋体" w:eastAsia="宋体"/>
          <w:sz w:val="21"/>
          <w:szCs w:val="21"/>
        </w:rPr>
        <w:t>年</w:t>
      </w:r>
    </w:p>
    <w:p w14:paraId="08BBF78A">
      <w:pPr>
        <w:pStyle w:val="14"/>
        <w:rPr>
          <w:rFonts w:ascii="黑体" w:hAnsi="黑体" w:eastAsia="黑体"/>
          <w:sz w:val="24"/>
          <w:szCs w:val="24"/>
        </w:rPr>
      </w:pPr>
    </w:p>
    <w:p w14:paraId="537F62AF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2A24256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1、正向贯通法</w:t>
      </w:r>
    </w:p>
    <w:p w14:paraId="404005B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通过概念、理论体系和知识层面的梳理来学习管理沟通。</w:t>
      </w:r>
    </w:p>
    <w:p w14:paraId="2EE6784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本课程会介绍管理沟通的理论，帮助同学们系统掌握组织内沟通如纵向沟通、横向沟通、绩效沟通、文化沟通等，以及组织间沟通如品牌沟通、危机沟通和跨文化沟通等方面的原理、策略和技巧。</w:t>
      </w:r>
    </w:p>
    <w:p w14:paraId="3B6C664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2、触类旁通法</w:t>
      </w:r>
    </w:p>
    <w:p w14:paraId="7F640AB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这类方法是从问题出发，通过分析问题和解决问题的方式来进行学习。</w:t>
      </w:r>
    </w:p>
    <w:p w14:paraId="1C39048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管理沟通有其强调案例分析和研讨，理论联系实际。通过案例分析、角色带入，能够触类旁通，内化理论知识，提高沟通水平。</w:t>
      </w:r>
    </w:p>
    <w:p w14:paraId="7F023A8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3、自我反思法</w:t>
      </w:r>
    </w:p>
    <w:p w14:paraId="7582A78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在学习过程中，要形成反思习惯，善于“诉诸于己”，以不断优化自己的思维模式，提高自我效能和情商。</w:t>
      </w:r>
    </w:p>
    <w:p w14:paraId="18A2288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定期复盘自己的经验，并将经验转化为能力是提升沟通力的有效方法。</w:t>
      </w:r>
    </w:p>
    <w:p w14:paraId="324F982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通过理论学习以及案例讨论，可重构自己的沟通经验。</w:t>
      </w:r>
    </w:p>
    <w:p w14:paraId="4CF776B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4、互相学习法</w:t>
      </w:r>
    </w:p>
    <w:p w14:paraId="3DC127E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好的管理源自实践。</w:t>
      </w:r>
    </w:p>
    <w:p w14:paraId="3663208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提升沟通能力需要大量的实践、复盘和练习。</w:t>
      </w:r>
    </w:p>
    <w:p w14:paraId="197912C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只有通过和他人或群体的互动，学员之间互相学习，以人为镜，才能切实提升能力。</w:t>
      </w:r>
    </w:p>
    <w:p w14:paraId="7D035475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775FA10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 w14:paraId="404B1FB0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347B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440008D0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A99442C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64BE814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7FEB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CEF92F5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2C338E89">
            <w:pPr>
              <w:pStyle w:val="2"/>
              <w:numPr>
                <w:ilvl w:val="0"/>
                <w:numId w:val="1"/>
              </w:numPr>
              <w:spacing w:before="156" w:beforeLines="50" w:after="156" w:afterLines="50"/>
              <w:jc w:val="left"/>
              <w:rPr>
                <w:rFonts w:hAnsi="宋体"/>
                <w:b w:val="0"/>
                <w:bCs w:val="0"/>
              </w:rPr>
            </w:pPr>
            <w:r>
              <w:rPr>
                <w:rFonts w:hint="eastAsia" w:hAnsi="宋体"/>
                <w:b w:val="0"/>
                <w:bCs w:val="0"/>
                <w:lang w:val="en-US" w:eastAsia="zh-CN"/>
              </w:rPr>
              <w:t>课堂讨论参与度</w:t>
            </w:r>
            <w:r>
              <w:rPr>
                <w:rFonts w:hint="eastAsia" w:hAnsi="宋体"/>
                <w:b w:val="0"/>
                <w:bCs w:val="0"/>
              </w:rPr>
              <w:t>。</w:t>
            </w:r>
          </w:p>
          <w:p w14:paraId="7245CA55">
            <w:pPr>
              <w:pStyle w:val="2"/>
              <w:numPr>
                <w:ilvl w:val="0"/>
                <w:numId w:val="1"/>
              </w:numPr>
              <w:spacing w:before="156" w:beforeLines="50" w:after="156" w:afterLines="50"/>
              <w:jc w:val="left"/>
              <w:rPr>
                <w:rFonts w:hAnsi="宋体"/>
                <w:b w:val="0"/>
                <w:bCs w:val="0"/>
              </w:rPr>
            </w:pPr>
            <w:r>
              <w:rPr>
                <w:rFonts w:hint="eastAsia" w:hAnsi="宋体"/>
                <w:b w:val="0"/>
                <w:bCs w:val="0"/>
                <w:lang w:val="en-US" w:eastAsia="zh-CN"/>
              </w:rPr>
              <w:t>案例分析展示</w:t>
            </w:r>
          </w:p>
          <w:p w14:paraId="4C84C727">
            <w:pPr>
              <w:pStyle w:val="2"/>
              <w:numPr>
                <w:ilvl w:val="0"/>
                <w:numId w:val="1"/>
              </w:numPr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/>
                <w:b w:val="0"/>
                <w:bCs w:val="0"/>
                <w:lang w:val="en-US" w:eastAsia="zh-CN"/>
              </w:rPr>
              <w:t>小组作业情况</w:t>
            </w:r>
          </w:p>
        </w:tc>
        <w:tc>
          <w:tcPr>
            <w:tcW w:w="2849" w:type="dxa"/>
            <w:vAlign w:val="center"/>
          </w:tcPr>
          <w:p w14:paraId="399B769D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案例分析</w:t>
            </w:r>
          </w:p>
          <w:p w14:paraId="1F99D351">
            <w:pPr>
              <w:pStyle w:val="2"/>
              <w:spacing w:before="156" w:beforeLines="50" w:after="156" w:afterLines="50"/>
              <w:jc w:val="center"/>
              <w:rPr>
                <w:rFonts w:hint="default" w:hAnsi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小组作业+课堂汇报</w:t>
            </w:r>
          </w:p>
        </w:tc>
      </w:tr>
    </w:tbl>
    <w:p w14:paraId="20352A20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7102E85D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 w14:paraId="7292B86B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1、平时成绩：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。</w:t>
      </w:r>
    </w:p>
    <w:p w14:paraId="2F589D07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 w14:paraId="1A82522B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</w:p>
    <w:p w14:paraId="66E40829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4142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69E5660A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346A64DC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8AFB1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A177C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EE7C41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4EBE07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0373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74F2EF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课程目标1-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EDF9D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参与课堂讨论与教学评价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36DFB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9587A1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案例分析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EC60855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目标达成度={0.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ｘ平时目标成绩+0.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ｘ期末目标成绩}/目标总分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</w:t>
            </w:r>
          </w:p>
        </w:tc>
      </w:tr>
    </w:tbl>
    <w:p w14:paraId="724CE222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 w14:paraId="648C12AF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984"/>
        <w:gridCol w:w="1985"/>
        <w:gridCol w:w="1844"/>
        <w:gridCol w:w="1780"/>
        <w:gridCol w:w="1780"/>
      </w:tblGrid>
      <w:tr w14:paraId="1EBC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91F6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课程</w:t>
            </w:r>
          </w:p>
          <w:p w14:paraId="638D18B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C1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5831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8629">
            <w:pPr>
              <w:widowControl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3EA2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189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D54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AF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F1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＜60</w:t>
            </w:r>
          </w:p>
        </w:tc>
      </w:tr>
      <w:tr w14:paraId="6D611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49ECF">
            <w:pPr>
              <w:widowControl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4D0C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2B63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B87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DAB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390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5E95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BBE0">
            <w:pPr>
              <w:widowControl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350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080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CB15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F03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FE5A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5F32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0A46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管理沟通案例分析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CBE64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材料分析：能够准确把握案例材料的核心主旨，以清晰的逻辑线索再现材料基本内容。（权重15%）</w:t>
            </w:r>
          </w:p>
          <w:p w14:paraId="3951C341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2.问题凝练：能够从材料中发现真问题，结合一定的视角凝练具有普遍意义的科学问题。（权重20%）</w:t>
            </w:r>
          </w:p>
          <w:p w14:paraId="2CCB8C5C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3.学理阐释：能够结合管理沟通的基本原理与方法对材料与问题进行解读。（权重：25%）</w:t>
            </w:r>
          </w:p>
          <w:p w14:paraId="001CEBD8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4.实践运用：能够举一反三，灵活运用学理和方法解决具体问题。（权重25%）</w:t>
            </w:r>
          </w:p>
          <w:p w14:paraId="7476CD88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5.合作交流：小组分工明确，交流顺畅，各司其职，服务团队。（权重10%）</w:t>
            </w:r>
          </w:p>
          <w:p w14:paraId="0CF4966B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964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材料分析：能够较好把握案例材料的核心主旨，以一定的逻辑线索再现材料基本内容。（权重15%）</w:t>
            </w:r>
          </w:p>
          <w:p w14:paraId="2CF8C7A0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2.问题凝练：能够从材料中发现问题，结合一定的视角凝练具有普遍意义的科学问题。（权重20%）</w:t>
            </w:r>
          </w:p>
          <w:p w14:paraId="3254EDFE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3.学理阐释：能够结合管理沟通的基本原理与方法对材料与问题进行解读。（权重：25%）</w:t>
            </w:r>
          </w:p>
          <w:p w14:paraId="71FBF5C2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4.实践运用：能够举一反三，灵活运用学理和方法解决具体问题。（权重25%）</w:t>
            </w:r>
          </w:p>
          <w:p w14:paraId="32D458AE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5.合作交流：小组分工明确，交流顺畅，各司其职，服务团队。（权重10%）</w:t>
            </w:r>
          </w:p>
          <w:p w14:paraId="34D7864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C46C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材料分析：能够部分把握案例材料的核心主旨，以相对完整的形式再现材料基本内容。（权重15%）</w:t>
            </w:r>
          </w:p>
          <w:p w14:paraId="4B309E61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2.问题凝练：能够从材料中发现部分问题，结合一定的视角凝练。（权重20%）</w:t>
            </w:r>
          </w:p>
          <w:p w14:paraId="7FF42881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3.学理阐释：能够结合管理沟通的基本原理与方法对材料与问题进行恰当解读。（权重：25%）</w:t>
            </w:r>
          </w:p>
          <w:p w14:paraId="347DA69E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4.实践运用：能够将科学问题与学理方法进行一定推广。（权重25%）</w:t>
            </w:r>
          </w:p>
          <w:p w14:paraId="6F4F08F3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5.合作交流：小组分工明确，能够完成好自己主持部分的工作。（权重10%）</w:t>
            </w:r>
          </w:p>
          <w:p w14:paraId="0075379E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F4BD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材料分析：对材料的中心立意有一定把握，可以复述材料基本内容。（权重15%）</w:t>
            </w:r>
          </w:p>
          <w:p w14:paraId="3474F77A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2.问题凝练：在教材或教师主导下能够对材料中反映的问题进行归纳总结。（权重20%）</w:t>
            </w:r>
          </w:p>
          <w:p w14:paraId="5475507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3.学理阐释：能够结合管理沟通的基本原理与方法对材料与问题进行部分解读。（权重：25%）</w:t>
            </w:r>
          </w:p>
          <w:p w14:paraId="67BE8C14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4.实践运用：具备一定的理论与实践相结合的能力。（权重25%）</w:t>
            </w:r>
          </w:p>
          <w:p w14:paraId="584510B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5.合作交流：能够完成自己部分的工作，且配合团队的任务。（权重10%）</w:t>
            </w:r>
          </w:p>
          <w:p w14:paraId="26C4D3F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E899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材料分析：对材料掌握不够或理解不透，无法再现材料本身。（权重15%）</w:t>
            </w:r>
          </w:p>
          <w:p w14:paraId="600C8D75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2.问题凝练：在教师的主导下依然难以发现科学问题。（权重20%）</w:t>
            </w:r>
          </w:p>
          <w:p w14:paraId="04165CA9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3.学理阐释：难以结合管理沟通的基本原理与方法对材料与问题进行解读。（权重：25%）</w:t>
            </w:r>
          </w:p>
          <w:p w14:paraId="5F03EC4A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4.实践运用：难以灵活运用学理和方法解决具体问题。（权重25%）</w:t>
            </w:r>
          </w:p>
          <w:p w14:paraId="71153766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5.合作交流：团队配合度低，影响他人工作发挥。（权重10%）</w:t>
            </w:r>
          </w:p>
          <w:p w14:paraId="4FEBB23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</w:tbl>
    <w:p w14:paraId="71111AC2">
      <w:pPr>
        <w:widowControl/>
        <w:jc w:val="left"/>
        <w:rPr>
          <w:rFonts w:ascii="宋体" w:hAnsi="宋体" w:eastAsia="宋体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5992362"/>
    </w:sdtPr>
    <w:sdtContent>
      <w:p w14:paraId="6DD77A04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4013E93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AE6D7F"/>
    <w:multiLevelType w:val="multilevel"/>
    <w:tmpl w:val="20AE6D7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408C2"/>
    <w:rsid w:val="00057773"/>
    <w:rsid w:val="000625D7"/>
    <w:rsid w:val="00077A5F"/>
    <w:rsid w:val="000865CB"/>
    <w:rsid w:val="000A17E5"/>
    <w:rsid w:val="000C504B"/>
    <w:rsid w:val="000C5059"/>
    <w:rsid w:val="000C52CE"/>
    <w:rsid w:val="000D6B6C"/>
    <w:rsid w:val="000E4515"/>
    <w:rsid w:val="000F054A"/>
    <w:rsid w:val="00101012"/>
    <w:rsid w:val="00104156"/>
    <w:rsid w:val="00132679"/>
    <w:rsid w:val="00133B15"/>
    <w:rsid w:val="001363CA"/>
    <w:rsid w:val="001607C4"/>
    <w:rsid w:val="00165126"/>
    <w:rsid w:val="001705C0"/>
    <w:rsid w:val="00174EAC"/>
    <w:rsid w:val="0017641B"/>
    <w:rsid w:val="00186078"/>
    <w:rsid w:val="00191128"/>
    <w:rsid w:val="00197907"/>
    <w:rsid w:val="001D62F0"/>
    <w:rsid w:val="001E12B1"/>
    <w:rsid w:val="001E27A3"/>
    <w:rsid w:val="001E5724"/>
    <w:rsid w:val="001E6A15"/>
    <w:rsid w:val="002140C9"/>
    <w:rsid w:val="00220B12"/>
    <w:rsid w:val="00237961"/>
    <w:rsid w:val="00242673"/>
    <w:rsid w:val="00285327"/>
    <w:rsid w:val="002A7568"/>
    <w:rsid w:val="002B3B2B"/>
    <w:rsid w:val="002B789A"/>
    <w:rsid w:val="00304B88"/>
    <w:rsid w:val="00304D77"/>
    <w:rsid w:val="00313A87"/>
    <w:rsid w:val="0032161C"/>
    <w:rsid w:val="00322986"/>
    <w:rsid w:val="00323C22"/>
    <w:rsid w:val="0034254B"/>
    <w:rsid w:val="0036191B"/>
    <w:rsid w:val="003648FB"/>
    <w:rsid w:val="00372105"/>
    <w:rsid w:val="0038665C"/>
    <w:rsid w:val="003F2B36"/>
    <w:rsid w:val="004070CF"/>
    <w:rsid w:val="004142CB"/>
    <w:rsid w:val="00433148"/>
    <w:rsid w:val="00440456"/>
    <w:rsid w:val="004B6EA6"/>
    <w:rsid w:val="004E1FED"/>
    <w:rsid w:val="004F32D9"/>
    <w:rsid w:val="004F44A1"/>
    <w:rsid w:val="005044CC"/>
    <w:rsid w:val="00516D6C"/>
    <w:rsid w:val="0055639B"/>
    <w:rsid w:val="00562A64"/>
    <w:rsid w:val="0056594B"/>
    <w:rsid w:val="005867C2"/>
    <w:rsid w:val="005A0378"/>
    <w:rsid w:val="005E47F4"/>
    <w:rsid w:val="00665565"/>
    <w:rsid w:val="00665621"/>
    <w:rsid w:val="00667D49"/>
    <w:rsid w:val="006B7EC2"/>
    <w:rsid w:val="006C18DF"/>
    <w:rsid w:val="006E4F82"/>
    <w:rsid w:val="006F64C9"/>
    <w:rsid w:val="00713A6F"/>
    <w:rsid w:val="00742F0E"/>
    <w:rsid w:val="0075738A"/>
    <w:rsid w:val="007639A2"/>
    <w:rsid w:val="00792DAA"/>
    <w:rsid w:val="00792DD7"/>
    <w:rsid w:val="007B680C"/>
    <w:rsid w:val="007C379D"/>
    <w:rsid w:val="007C62ED"/>
    <w:rsid w:val="007D15E3"/>
    <w:rsid w:val="007D2AA8"/>
    <w:rsid w:val="007E39E3"/>
    <w:rsid w:val="007E4E64"/>
    <w:rsid w:val="008128AD"/>
    <w:rsid w:val="008560E2"/>
    <w:rsid w:val="00866095"/>
    <w:rsid w:val="00872D39"/>
    <w:rsid w:val="00886EBF"/>
    <w:rsid w:val="00902865"/>
    <w:rsid w:val="00917B1C"/>
    <w:rsid w:val="00923169"/>
    <w:rsid w:val="00991F26"/>
    <w:rsid w:val="009B7198"/>
    <w:rsid w:val="009C69D7"/>
    <w:rsid w:val="009D08CF"/>
    <w:rsid w:val="009E7BB0"/>
    <w:rsid w:val="009F367E"/>
    <w:rsid w:val="00A03BBD"/>
    <w:rsid w:val="00A13EC9"/>
    <w:rsid w:val="00A41B64"/>
    <w:rsid w:val="00A61EFD"/>
    <w:rsid w:val="00A907F6"/>
    <w:rsid w:val="00AA1A81"/>
    <w:rsid w:val="00AA4570"/>
    <w:rsid w:val="00AA630A"/>
    <w:rsid w:val="00AC7C6A"/>
    <w:rsid w:val="00AE2D46"/>
    <w:rsid w:val="00AE3D1A"/>
    <w:rsid w:val="00B03909"/>
    <w:rsid w:val="00B31ED0"/>
    <w:rsid w:val="00B34494"/>
    <w:rsid w:val="00B40ECD"/>
    <w:rsid w:val="00B4542A"/>
    <w:rsid w:val="00B54CE3"/>
    <w:rsid w:val="00B61D7B"/>
    <w:rsid w:val="00B84EC0"/>
    <w:rsid w:val="00B933FD"/>
    <w:rsid w:val="00B9346B"/>
    <w:rsid w:val="00BA23F0"/>
    <w:rsid w:val="00BB55D6"/>
    <w:rsid w:val="00BD742C"/>
    <w:rsid w:val="00C00798"/>
    <w:rsid w:val="00C54636"/>
    <w:rsid w:val="00C95A48"/>
    <w:rsid w:val="00CA53B2"/>
    <w:rsid w:val="00CC3786"/>
    <w:rsid w:val="00CD65B2"/>
    <w:rsid w:val="00D00C2B"/>
    <w:rsid w:val="00D02F99"/>
    <w:rsid w:val="00D13271"/>
    <w:rsid w:val="00D14471"/>
    <w:rsid w:val="00D21A51"/>
    <w:rsid w:val="00D23881"/>
    <w:rsid w:val="00D417A1"/>
    <w:rsid w:val="00D504B7"/>
    <w:rsid w:val="00D53969"/>
    <w:rsid w:val="00D64886"/>
    <w:rsid w:val="00D715F7"/>
    <w:rsid w:val="00DD7B5F"/>
    <w:rsid w:val="00DE7849"/>
    <w:rsid w:val="00DF495F"/>
    <w:rsid w:val="00E05E8B"/>
    <w:rsid w:val="00E366AB"/>
    <w:rsid w:val="00E412AA"/>
    <w:rsid w:val="00E45C86"/>
    <w:rsid w:val="00E45FB1"/>
    <w:rsid w:val="00E63F7F"/>
    <w:rsid w:val="00E76E34"/>
    <w:rsid w:val="00EA389F"/>
    <w:rsid w:val="00EA7AED"/>
    <w:rsid w:val="00EB04A9"/>
    <w:rsid w:val="00EC1FEF"/>
    <w:rsid w:val="00ED7F81"/>
    <w:rsid w:val="00EE5F40"/>
    <w:rsid w:val="00F100A0"/>
    <w:rsid w:val="00F1092B"/>
    <w:rsid w:val="00F14B3B"/>
    <w:rsid w:val="00F32893"/>
    <w:rsid w:val="00F41B97"/>
    <w:rsid w:val="00F52316"/>
    <w:rsid w:val="00F54D3A"/>
    <w:rsid w:val="00F55B2F"/>
    <w:rsid w:val="00F56396"/>
    <w:rsid w:val="00F768FF"/>
    <w:rsid w:val="00FB77A1"/>
    <w:rsid w:val="00FC24B5"/>
    <w:rsid w:val="00FE2DC5"/>
    <w:rsid w:val="00FF4026"/>
    <w:rsid w:val="00FF543F"/>
    <w:rsid w:val="01DD29AF"/>
    <w:rsid w:val="08DB7504"/>
    <w:rsid w:val="0C402975"/>
    <w:rsid w:val="172567F3"/>
    <w:rsid w:val="2B581BC5"/>
    <w:rsid w:val="35B9265D"/>
    <w:rsid w:val="3B1D703D"/>
    <w:rsid w:val="3DCF501E"/>
    <w:rsid w:val="4DF95780"/>
    <w:rsid w:val="5A067C99"/>
    <w:rsid w:val="5E40706E"/>
    <w:rsid w:val="72586CF7"/>
    <w:rsid w:val="72B15D07"/>
    <w:rsid w:val="7E93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basedOn w:val="8"/>
    <w:link w:val="2"/>
    <w:autoRedefine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paragraph" w:styleId="14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宋体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14</Pages>
  <Words>11528</Words>
  <Characters>12070</Characters>
  <Lines>91</Lines>
  <Paragraphs>25</Paragraphs>
  <TotalTime>0</TotalTime>
  <ScaleCrop>false</ScaleCrop>
  <LinksUpToDate>false</LinksUpToDate>
  <CharactersWithSpaces>12218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2021-05-06T20:24:00Z</dcterms:created>
  <dc:creator>Windows User</dc:creator>
  <cp:lastModifiedBy>王一成</cp:lastModifiedBy>
  <cp:lastPrinted>2020-12-24T07:17:00Z</cp:lastPrinted>
  <dcterms:modified xsi:type="dcterms:W3CDTF">2024-08-29T03:54:09Z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9C2B8BE9D3784D3FB760CAC09A3C37A9_12</vt:lpwstr>
  </property>
</Properties>
</file>