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40CE4B">
      <w:pPr>
        <w:spacing w:before="156" w:beforeLines="50" w:after="156" w:afterLines="50"/>
        <w:jc w:val="center"/>
        <w:rPr>
          <w:rFonts w:ascii="黑体" w:hAnsi="黑体" w:eastAsia="黑体"/>
          <w:sz w:val="32"/>
          <w:szCs w:val="32"/>
        </w:rPr>
      </w:pPr>
      <w:r>
        <w:rPr>
          <w:rFonts w:hint="eastAsia" w:ascii="黑体" w:hAnsi="黑体" w:eastAsia="黑体"/>
          <w:sz w:val="32"/>
          <w:szCs w:val="32"/>
        </w:rPr>
        <w:t>《哲学与生命意义》课程教学大纲</w:t>
      </w:r>
    </w:p>
    <w:p w14:paraId="5036DC00">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14:paraId="36320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63A2D426">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14:paraId="78B1A213">
            <w:pPr>
              <w:spacing w:before="156" w:beforeLines="50" w:after="156" w:afterLines="50"/>
              <w:jc w:val="left"/>
              <w:rPr>
                <w:rFonts w:ascii="宋体" w:hAnsi="宋体" w:eastAsia="宋体"/>
              </w:rPr>
            </w:pPr>
            <w:r>
              <w:rPr>
                <w:rFonts w:hint="eastAsia" w:ascii="宋体" w:hAnsi="宋体" w:eastAsia="宋体"/>
              </w:rPr>
              <w:t>哲学专业英语</w:t>
            </w:r>
          </w:p>
        </w:tc>
        <w:tc>
          <w:tcPr>
            <w:tcW w:w="1134" w:type="dxa"/>
            <w:vAlign w:val="center"/>
          </w:tcPr>
          <w:p w14:paraId="51A39ECC">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14:paraId="0D0FE788">
            <w:pPr>
              <w:spacing w:before="156" w:beforeLines="50" w:after="156" w:afterLines="50"/>
              <w:rPr>
                <w:rFonts w:ascii="Times New Roman" w:hAnsi="Times New Roman" w:eastAsia="宋体" w:cs="Times New Roman"/>
              </w:rPr>
            </w:pPr>
            <w:r>
              <w:rPr>
                <w:rFonts w:ascii="Times New Roman" w:hAnsi="Times New Roman" w:eastAsia="宋体" w:cs="Times New Roman"/>
              </w:rPr>
              <w:t>PHIL2011</w:t>
            </w:r>
          </w:p>
        </w:tc>
      </w:tr>
      <w:tr w14:paraId="7B8B2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37C4EC2E">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14:paraId="18A567BF">
            <w:pPr>
              <w:spacing w:before="156" w:beforeLines="50" w:after="156" w:afterLines="50"/>
              <w:jc w:val="left"/>
              <w:rPr>
                <w:rFonts w:hint="default" w:ascii="宋体" w:hAnsi="宋体" w:eastAsia="宋体"/>
                <w:lang w:val="en-US" w:eastAsia="zh-CN"/>
              </w:rPr>
            </w:pPr>
            <w:r>
              <w:rPr>
                <w:rFonts w:hint="eastAsia" w:ascii="宋体" w:hAnsi="宋体" w:eastAsia="宋体"/>
                <w:lang w:val="en-US" w:eastAsia="zh-CN"/>
              </w:rPr>
              <w:t>学科基础课程</w:t>
            </w:r>
          </w:p>
        </w:tc>
        <w:tc>
          <w:tcPr>
            <w:tcW w:w="1134" w:type="dxa"/>
            <w:vAlign w:val="center"/>
          </w:tcPr>
          <w:p w14:paraId="1C89C55C">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14:paraId="6C650C06">
            <w:pPr>
              <w:spacing w:before="156" w:beforeLines="50" w:after="156" w:afterLines="50"/>
              <w:rPr>
                <w:rFonts w:ascii="宋体" w:hAnsi="宋体" w:eastAsia="宋体"/>
              </w:rPr>
            </w:pPr>
            <w:r>
              <w:rPr>
                <w:rFonts w:hint="eastAsia" w:ascii="宋体" w:hAnsi="宋体" w:eastAsia="宋体"/>
                <w:lang w:val="en-US" w:eastAsia="zh-CN"/>
              </w:rPr>
              <w:t xml:space="preserve">哲学 </w:t>
            </w:r>
            <w:bookmarkStart w:id="5" w:name="_GoBack"/>
            <w:bookmarkEnd w:id="5"/>
            <w:r>
              <w:rPr>
                <w:rFonts w:hint="eastAsia" w:ascii="宋体" w:hAnsi="宋体" w:eastAsia="宋体"/>
              </w:rPr>
              <w:t>本科生</w:t>
            </w:r>
          </w:p>
        </w:tc>
      </w:tr>
      <w:tr w14:paraId="6260A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2428ED45">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14:paraId="51233BF8">
            <w:pPr>
              <w:spacing w:before="156" w:beforeLines="50" w:after="156" w:afterLines="50"/>
              <w:jc w:val="left"/>
              <w:rPr>
                <w:rFonts w:ascii="宋体" w:hAnsi="宋体" w:eastAsia="宋体"/>
              </w:rPr>
            </w:pPr>
            <w:r>
              <w:rPr>
                <w:rFonts w:hint="eastAsia" w:ascii="宋体" w:hAnsi="宋体" w:eastAsia="宋体"/>
              </w:rPr>
              <w:t>3学分</w:t>
            </w:r>
          </w:p>
        </w:tc>
        <w:tc>
          <w:tcPr>
            <w:tcW w:w="1134" w:type="dxa"/>
            <w:vAlign w:val="center"/>
          </w:tcPr>
          <w:p w14:paraId="4FC07302">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14:paraId="2508EC5E">
            <w:pPr>
              <w:spacing w:before="156" w:beforeLines="50" w:after="156" w:afterLines="50"/>
              <w:rPr>
                <w:rFonts w:ascii="宋体" w:hAnsi="宋体" w:eastAsia="宋体"/>
              </w:rPr>
            </w:pPr>
            <w:r>
              <w:rPr>
                <w:rFonts w:hint="eastAsia" w:ascii="宋体" w:hAnsi="宋体" w:eastAsia="宋体"/>
              </w:rPr>
              <w:t>5</w:t>
            </w:r>
            <w:r>
              <w:rPr>
                <w:rFonts w:hint="eastAsia" w:ascii="宋体" w:hAnsi="宋体" w:eastAsia="宋体"/>
                <w:lang w:val="en-US" w:eastAsia="zh-CN"/>
              </w:rPr>
              <w:t>4</w:t>
            </w:r>
            <w:r>
              <w:rPr>
                <w:rFonts w:hint="eastAsia" w:ascii="宋体" w:hAnsi="宋体" w:eastAsia="宋体"/>
              </w:rPr>
              <w:t>学时</w:t>
            </w:r>
          </w:p>
        </w:tc>
      </w:tr>
      <w:tr w14:paraId="51C3E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31038279">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14:paraId="6EB1242F">
            <w:pPr>
              <w:spacing w:before="156" w:beforeLines="50" w:after="156" w:afterLines="50"/>
              <w:jc w:val="left"/>
              <w:rPr>
                <w:rFonts w:ascii="宋体" w:hAnsi="宋体" w:eastAsia="宋体"/>
              </w:rPr>
            </w:pPr>
            <w:r>
              <w:rPr>
                <w:rFonts w:hint="eastAsia" w:ascii="宋体" w:hAnsi="宋体" w:eastAsia="宋体"/>
              </w:rPr>
              <w:t>高山</w:t>
            </w:r>
          </w:p>
        </w:tc>
        <w:tc>
          <w:tcPr>
            <w:tcW w:w="1134" w:type="dxa"/>
            <w:vAlign w:val="center"/>
          </w:tcPr>
          <w:p w14:paraId="1CC6232D">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14:paraId="784031D0">
            <w:pPr>
              <w:spacing w:before="156" w:beforeLines="50" w:after="156" w:afterLines="50"/>
              <w:rPr>
                <w:rFonts w:ascii="宋体" w:hAnsi="宋体" w:eastAsia="宋体"/>
              </w:rPr>
            </w:pPr>
            <w:r>
              <w:rPr>
                <w:rFonts w:hint="eastAsia" w:ascii="宋体" w:hAnsi="宋体" w:eastAsia="宋体"/>
              </w:rPr>
              <w:t>2024年8月</w:t>
            </w:r>
          </w:p>
        </w:tc>
      </w:tr>
      <w:tr w14:paraId="60F45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63C70492">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14:paraId="650737CB">
            <w:pPr>
              <w:spacing w:before="156" w:beforeLines="50" w:after="156" w:afterLines="50"/>
              <w:rPr>
                <w:rFonts w:ascii="宋体" w:hAnsi="宋体" w:eastAsia="宋体"/>
              </w:rPr>
            </w:pPr>
            <w:r>
              <w:rPr>
                <w:rFonts w:hint="eastAsia" w:ascii="宋体" w:hAnsi="宋体" w:eastAsia="宋体"/>
              </w:rPr>
              <w:t>自编教材</w:t>
            </w:r>
          </w:p>
        </w:tc>
      </w:tr>
    </w:tbl>
    <w:p w14:paraId="17AEB187">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14:paraId="4E74CCF4">
      <w:pPr>
        <w:pStyle w:val="2"/>
        <w:spacing w:before="156" w:beforeLines="50" w:after="156" w:afterLines="50"/>
        <w:ind w:firstLine="420" w:firstLineChars="200"/>
        <w:rPr>
          <w:rFonts w:hAnsi="宋体" w:cs="宋体"/>
          <w:szCs w:val="21"/>
        </w:rPr>
      </w:pPr>
      <w:r>
        <w:rPr>
          <w:rFonts w:hint="eastAsia" w:hAnsi="宋体" w:cs="宋体"/>
          <w:szCs w:val="21"/>
        </w:rPr>
        <w:t>使学生了解西方哲学经典的核心哲学范畴，培养学生批判性思维能力。</w:t>
      </w:r>
    </w:p>
    <w:p w14:paraId="23DD3620">
      <w:pPr>
        <w:pStyle w:val="2"/>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 xml:space="preserve">总体目标： </w:t>
      </w:r>
    </w:p>
    <w:p w14:paraId="7872384C">
      <w:pPr>
        <w:pStyle w:val="2"/>
        <w:spacing w:before="156" w:beforeLines="50" w:after="156" w:afterLines="50"/>
        <w:ind w:firstLine="420" w:firstLineChars="200"/>
        <w:rPr>
          <w:rFonts w:hAnsi="宋体" w:cs="宋体"/>
          <w:szCs w:val="21"/>
        </w:rPr>
      </w:pPr>
      <w:r>
        <w:rPr>
          <w:rFonts w:hint="eastAsia" w:hAnsi="宋体" w:cs="宋体"/>
          <w:szCs w:val="21"/>
        </w:rPr>
        <w:t>培养学生掌握西方哲学经典的核心哲学范畴，了解哲学的新兴领域即自然美学。</w:t>
      </w:r>
    </w:p>
    <w:p w14:paraId="50E6B12C">
      <w:pPr>
        <w:pStyle w:val="2"/>
        <w:spacing w:before="156" w:beforeLines="50" w:after="156" w:afterLines="50"/>
        <w:ind w:firstLine="480" w:firstLineChars="200"/>
        <w:rPr>
          <w:rFonts w:hAnsi="宋体" w:cs="宋体"/>
        </w:rPr>
      </w:pPr>
      <w:r>
        <w:rPr>
          <w:rFonts w:hint="eastAsia" w:ascii="黑体" w:hAnsi="黑体" w:eastAsia="黑体" w:cs="宋体"/>
          <w:sz w:val="24"/>
          <w:szCs w:val="24"/>
        </w:rPr>
        <w:t>（二）课程目标：</w:t>
      </w:r>
      <w:r>
        <w:rPr>
          <w:rFonts w:hint="eastAsia" w:hAnsi="宋体" w:cs="宋体"/>
        </w:rPr>
        <w:t xml:space="preserve"> </w:t>
      </w:r>
    </w:p>
    <w:p w14:paraId="3D27BEAD">
      <w:pPr>
        <w:pStyle w:val="2"/>
        <w:spacing w:before="156" w:beforeLines="50" w:after="156" w:afterLines="50"/>
        <w:ind w:firstLine="420" w:firstLineChars="200"/>
        <w:rPr>
          <w:rFonts w:hAnsi="宋体" w:cs="宋体"/>
        </w:rPr>
      </w:pPr>
      <w:r>
        <w:rPr>
          <w:rFonts w:hint="eastAsia" w:hAnsi="宋体" w:cs="宋体"/>
        </w:rPr>
        <w:t>（</w:t>
      </w:r>
      <w:r>
        <w:rPr>
          <w:rFonts w:hAnsi="宋体" w:cs="宋体"/>
        </w:rPr>
        <w:t>课程目标规定</w:t>
      </w:r>
      <w:r>
        <w:rPr>
          <w:rFonts w:hint="eastAsia" w:hAnsi="宋体" w:cs="宋体"/>
        </w:rPr>
        <w:t>某一阶段的学生通过课程学习以后，在发展德智体美劳</w:t>
      </w:r>
      <w:r>
        <w:rPr>
          <w:rFonts w:hAnsi="宋体" w:cs="宋体"/>
        </w:rPr>
        <w:t>等方面</w:t>
      </w:r>
      <w:r>
        <w:rPr>
          <w:rFonts w:hint="eastAsia" w:hAnsi="宋体" w:cs="宋体"/>
        </w:rPr>
        <w:t>期望实现的程度，它是确定课程内容、教学目标和教学方法的基础。）（五号宋体）</w:t>
      </w:r>
    </w:p>
    <w:p w14:paraId="38CAB695">
      <w:pPr>
        <w:pStyle w:val="2"/>
        <w:spacing w:before="156" w:beforeLines="50" w:after="156" w:afterLines="50"/>
        <w:ind w:firstLine="422" w:firstLineChars="200"/>
        <w:rPr>
          <w:rFonts w:hAnsi="宋体" w:cs="宋体"/>
          <w:b/>
        </w:rPr>
      </w:pPr>
      <w:r>
        <w:rPr>
          <w:rFonts w:hint="eastAsia" w:hAnsi="宋体" w:cs="宋体"/>
          <w:b/>
        </w:rPr>
        <w:t>课程目标1：使学生掌握亚里士多德的幸福论</w:t>
      </w:r>
    </w:p>
    <w:p w14:paraId="53CB53C2">
      <w:pPr>
        <w:pStyle w:val="2"/>
        <w:spacing w:before="156" w:beforeLines="50" w:after="156" w:afterLines="50"/>
        <w:ind w:firstLine="420" w:firstLineChars="200"/>
        <w:rPr>
          <w:rFonts w:hAnsi="宋体" w:cs="宋体"/>
        </w:rPr>
      </w:pPr>
      <w:r>
        <w:rPr>
          <w:rFonts w:hint="eastAsia" w:hAnsi="宋体" w:cs="宋体"/>
        </w:rPr>
        <w:t>1．1 德性的概念</w:t>
      </w:r>
    </w:p>
    <w:p w14:paraId="0A2C4F3A">
      <w:pPr>
        <w:pStyle w:val="2"/>
        <w:spacing w:before="156" w:beforeLines="50" w:after="156" w:afterLines="50"/>
        <w:ind w:firstLine="420" w:firstLineChars="200"/>
        <w:rPr>
          <w:rFonts w:hAnsi="宋体" w:cs="宋体"/>
        </w:rPr>
      </w:pPr>
      <w:r>
        <w:rPr>
          <w:rFonts w:hAnsi="宋体" w:cs="宋体"/>
        </w:rPr>
        <w:t>1</w:t>
      </w:r>
      <w:r>
        <w:rPr>
          <w:rFonts w:hint="eastAsia" w:hAnsi="宋体" w:cs="宋体"/>
        </w:rPr>
        <w:t>．2 德性、理性与幸福的关系</w:t>
      </w:r>
    </w:p>
    <w:p w14:paraId="60E80C88">
      <w:pPr>
        <w:pStyle w:val="2"/>
        <w:spacing w:before="156" w:beforeLines="50" w:after="156" w:afterLines="50"/>
        <w:ind w:firstLine="422" w:firstLineChars="200"/>
        <w:rPr>
          <w:rFonts w:hAnsi="宋体" w:cs="宋体"/>
          <w:b/>
        </w:rPr>
      </w:pPr>
      <w:r>
        <w:rPr>
          <w:rFonts w:hint="eastAsia" w:hAnsi="宋体" w:cs="宋体"/>
          <w:b/>
        </w:rPr>
        <w:t>课程目标2：使学生掌握康德的义务论</w:t>
      </w:r>
    </w:p>
    <w:p w14:paraId="41359A8B">
      <w:pPr>
        <w:pStyle w:val="2"/>
        <w:spacing w:before="156" w:beforeLines="50" w:after="156" w:afterLines="50"/>
        <w:ind w:firstLine="420" w:firstLineChars="200"/>
        <w:rPr>
          <w:rFonts w:hAnsi="宋体" w:cs="宋体"/>
        </w:rPr>
      </w:pPr>
      <w:r>
        <w:rPr>
          <w:rFonts w:hint="eastAsia" w:hAnsi="宋体" w:cs="宋体"/>
        </w:rPr>
        <w:t>2．1 义务</w:t>
      </w:r>
    </w:p>
    <w:p w14:paraId="20AD0388">
      <w:pPr>
        <w:pStyle w:val="2"/>
        <w:spacing w:before="156" w:beforeLines="50" w:after="156" w:afterLines="50"/>
        <w:ind w:firstLine="420" w:firstLineChars="200"/>
        <w:rPr>
          <w:rFonts w:hAnsi="宋体" w:cs="宋体"/>
        </w:rPr>
      </w:pPr>
      <w:r>
        <w:rPr>
          <w:rFonts w:hAnsi="宋体" w:cs="宋体"/>
        </w:rPr>
        <w:t>2</w:t>
      </w:r>
      <w:r>
        <w:rPr>
          <w:rFonts w:hint="eastAsia" w:hAnsi="宋体" w:cs="宋体"/>
        </w:rPr>
        <w:t>．2 德性</w:t>
      </w:r>
    </w:p>
    <w:p w14:paraId="286D30C1">
      <w:pPr>
        <w:pStyle w:val="2"/>
        <w:spacing w:before="156" w:beforeLines="50" w:after="156" w:afterLines="50"/>
        <w:ind w:firstLine="422" w:firstLineChars="200"/>
        <w:rPr>
          <w:rFonts w:hAnsi="宋体" w:cs="宋体"/>
          <w:b/>
        </w:rPr>
      </w:pPr>
      <w:r>
        <w:rPr>
          <w:rFonts w:hint="eastAsia" w:hAnsi="宋体" w:cs="宋体"/>
          <w:b/>
        </w:rPr>
        <w:t>课程目标3：使学生掌握自然美学这一新兴领域</w:t>
      </w:r>
    </w:p>
    <w:p w14:paraId="7FF4265D">
      <w:pPr>
        <w:pStyle w:val="2"/>
        <w:spacing w:before="156" w:beforeLines="50" w:after="156" w:afterLines="50"/>
        <w:ind w:firstLine="420" w:firstLineChars="200"/>
        <w:rPr>
          <w:rFonts w:hAnsi="宋体" w:cs="宋体"/>
        </w:rPr>
      </w:pPr>
      <w:r>
        <w:rPr>
          <w:rFonts w:hint="eastAsia" w:hAnsi="宋体" w:cs="宋体"/>
        </w:rPr>
        <w:t>3. 1. 自然美学产生的历史背景</w:t>
      </w:r>
    </w:p>
    <w:p w14:paraId="565FC974">
      <w:pPr>
        <w:pStyle w:val="2"/>
        <w:spacing w:before="156" w:beforeLines="50" w:after="156" w:afterLines="50"/>
        <w:ind w:firstLine="420" w:firstLineChars="200"/>
        <w:rPr>
          <w:rFonts w:hAnsi="宋体" w:cs="宋体"/>
        </w:rPr>
      </w:pPr>
      <w:r>
        <w:rPr>
          <w:rFonts w:hint="eastAsia" w:hAnsi="宋体" w:cs="宋体"/>
        </w:rPr>
        <w:t>3. 2. 自然美学与环境保护立法之间的关系</w:t>
      </w:r>
    </w:p>
    <w:p w14:paraId="5470BE36">
      <w:pPr>
        <w:pStyle w:val="2"/>
        <w:spacing w:before="156" w:beforeLines="50" w:after="156" w:afterLines="50"/>
        <w:ind w:firstLine="420" w:firstLineChars="200"/>
        <w:rPr>
          <w:rFonts w:hAnsi="宋体" w:cs="宋体"/>
        </w:rPr>
      </w:pPr>
      <w:r>
        <w:rPr>
          <w:rFonts w:hint="eastAsia" w:hAnsi="宋体" w:cs="宋体"/>
        </w:rPr>
        <w:t>（要求参照《普通高等学校本科专业类教学质量国家标准》，对应各类专业认证标准，注意对毕业要求支撑程度强弱的描述，与课程目标对毕业要求的支撑关系表一致）（五号宋体）</w:t>
      </w:r>
    </w:p>
    <w:p w14:paraId="043E0459">
      <w:pPr>
        <w:pStyle w:val="2"/>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14:paraId="5A397EEE">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 xml:space="preserve">表1：课程目标与课程内容、毕业要求的对应关系表 </w:t>
      </w:r>
    </w:p>
    <w:tbl>
      <w:tblPr>
        <w:tblStyle w:val="6"/>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14:paraId="6CAC3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6AC75DEE">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1959" w:type="dxa"/>
            <w:vAlign w:val="center"/>
          </w:tcPr>
          <w:p w14:paraId="7D6B5BC2">
            <w:pPr>
              <w:pStyle w:val="2"/>
              <w:spacing w:before="156" w:beforeLines="50" w:after="156" w:afterLines="50"/>
              <w:jc w:val="center"/>
              <w:rPr>
                <w:rFonts w:hAnsi="宋体" w:cs="宋体"/>
                <w:b/>
              </w:rPr>
            </w:pPr>
            <w:r>
              <w:rPr>
                <w:rFonts w:hint="eastAsia" w:hAnsi="宋体" w:cs="宋体"/>
                <w:b/>
              </w:rPr>
              <w:t>课程子目标</w:t>
            </w:r>
          </w:p>
        </w:tc>
        <w:tc>
          <w:tcPr>
            <w:tcW w:w="3118" w:type="dxa"/>
            <w:vAlign w:val="center"/>
          </w:tcPr>
          <w:p w14:paraId="1AAC1BB0">
            <w:pPr>
              <w:pStyle w:val="2"/>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14:paraId="57AEEC4D">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14:paraId="66EEA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26B12DAB">
            <w:pPr>
              <w:pStyle w:val="2"/>
              <w:spacing w:before="156" w:beforeLines="50" w:after="156" w:afterLines="50"/>
              <w:jc w:val="center"/>
              <w:rPr>
                <w:rFonts w:hAnsi="宋体" w:cs="宋体"/>
                <w:szCs w:val="21"/>
              </w:rPr>
            </w:pPr>
            <w:r>
              <w:rPr>
                <w:rFonts w:hint="eastAsia" w:hAnsi="宋体" w:cs="宋体"/>
                <w:szCs w:val="21"/>
              </w:rPr>
              <w:t>课程目标1</w:t>
            </w:r>
          </w:p>
        </w:tc>
        <w:tc>
          <w:tcPr>
            <w:tcW w:w="1959" w:type="dxa"/>
            <w:vAlign w:val="center"/>
          </w:tcPr>
          <w:p w14:paraId="7631D282">
            <w:pPr>
              <w:pStyle w:val="2"/>
              <w:spacing w:before="156" w:beforeLines="50" w:after="156" w:afterLines="50"/>
              <w:jc w:val="center"/>
              <w:rPr>
                <w:rFonts w:hAnsi="宋体" w:cs="宋体"/>
              </w:rPr>
            </w:pPr>
            <w:r>
              <w:rPr>
                <w:rFonts w:hint="eastAsia" w:hAnsi="宋体" w:cs="宋体"/>
              </w:rPr>
              <w:t>1.1</w:t>
            </w:r>
          </w:p>
        </w:tc>
        <w:tc>
          <w:tcPr>
            <w:tcW w:w="3118" w:type="dxa"/>
            <w:vAlign w:val="center"/>
          </w:tcPr>
          <w:p w14:paraId="7065B9D0">
            <w:pPr>
              <w:pStyle w:val="2"/>
              <w:spacing w:before="156" w:beforeLines="50" w:after="156" w:afterLines="50"/>
              <w:jc w:val="center"/>
              <w:rPr>
                <w:rFonts w:hAnsi="宋体" w:cs="宋体"/>
              </w:rPr>
            </w:pPr>
            <w:r>
              <w:rPr>
                <w:rFonts w:hint="eastAsia" w:ascii="Times New Roman" w:hAnsi="Times New Roman"/>
              </w:rPr>
              <w:t>亚里士多德的理智德性和道德德性</w:t>
            </w:r>
          </w:p>
        </w:tc>
        <w:tc>
          <w:tcPr>
            <w:tcW w:w="2688" w:type="dxa"/>
            <w:vAlign w:val="center"/>
          </w:tcPr>
          <w:p w14:paraId="099652AF">
            <w:pPr>
              <w:pStyle w:val="2"/>
              <w:spacing w:before="156" w:beforeLines="50" w:after="156" w:afterLines="50"/>
              <w:jc w:val="center"/>
              <w:rPr>
                <w:rFonts w:hAnsi="宋体" w:cs="宋体"/>
              </w:rPr>
            </w:pPr>
            <w:r>
              <w:rPr>
                <w:rFonts w:hint="eastAsia" w:hAnsi="宋体" w:cs="宋体"/>
              </w:rPr>
              <w:t>理解两种德性</w:t>
            </w:r>
          </w:p>
        </w:tc>
      </w:tr>
      <w:tr w14:paraId="13682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6CE05730">
            <w:pPr>
              <w:pStyle w:val="2"/>
              <w:spacing w:before="156" w:beforeLines="50" w:after="156" w:afterLines="50"/>
              <w:jc w:val="center"/>
              <w:rPr>
                <w:rFonts w:hAnsi="宋体" w:cs="宋体"/>
                <w:szCs w:val="21"/>
              </w:rPr>
            </w:pPr>
          </w:p>
        </w:tc>
        <w:tc>
          <w:tcPr>
            <w:tcW w:w="1959" w:type="dxa"/>
            <w:vAlign w:val="center"/>
          </w:tcPr>
          <w:p w14:paraId="757DC332">
            <w:pPr>
              <w:pStyle w:val="2"/>
              <w:spacing w:before="156" w:beforeLines="50" w:after="156" w:afterLines="50"/>
              <w:jc w:val="center"/>
              <w:rPr>
                <w:rFonts w:hAnsi="宋体" w:cs="宋体"/>
              </w:rPr>
            </w:pPr>
            <w:r>
              <w:rPr>
                <w:rFonts w:hint="eastAsia" w:hAnsi="宋体" w:cs="宋体"/>
              </w:rPr>
              <w:t>1.2</w:t>
            </w:r>
          </w:p>
        </w:tc>
        <w:tc>
          <w:tcPr>
            <w:tcW w:w="3118" w:type="dxa"/>
            <w:vAlign w:val="center"/>
          </w:tcPr>
          <w:p w14:paraId="74B6519E">
            <w:pPr>
              <w:pStyle w:val="2"/>
              <w:spacing w:before="156" w:beforeLines="50" w:after="156" w:afterLines="50"/>
              <w:jc w:val="center"/>
              <w:rPr>
                <w:rFonts w:hAnsi="宋体" w:cs="宋体"/>
              </w:rPr>
            </w:pPr>
            <w:r>
              <w:rPr>
                <w:rFonts w:hint="eastAsia" w:ascii="Times New Roman" w:hAnsi="Times New Roman"/>
              </w:rPr>
              <w:t>亚里士多德的德福一致思想</w:t>
            </w:r>
          </w:p>
        </w:tc>
        <w:tc>
          <w:tcPr>
            <w:tcW w:w="2688" w:type="dxa"/>
            <w:vAlign w:val="center"/>
          </w:tcPr>
          <w:p w14:paraId="11660F5D">
            <w:pPr>
              <w:pStyle w:val="2"/>
              <w:spacing w:before="156" w:beforeLines="50" w:after="156" w:afterLines="50"/>
              <w:jc w:val="center"/>
              <w:rPr>
                <w:rFonts w:hAnsi="宋体" w:cs="宋体"/>
              </w:rPr>
            </w:pPr>
            <w:r>
              <w:rPr>
                <w:rFonts w:hint="eastAsia" w:hAnsi="宋体" w:cs="宋体"/>
              </w:rPr>
              <w:t>理解德福一致</w:t>
            </w:r>
          </w:p>
        </w:tc>
      </w:tr>
      <w:tr w14:paraId="08A86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1E49F610">
            <w:pPr>
              <w:pStyle w:val="2"/>
              <w:spacing w:before="156" w:beforeLines="50" w:after="156" w:afterLines="50"/>
              <w:jc w:val="center"/>
              <w:rPr>
                <w:rFonts w:hAnsi="宋体" w:cs="宋体"/>
                <w:szCs w:val="21"/>
              </w:rPr>
            </w:pPr>
            <w:r>
              <w:rPr>
                <w:rFonts w:hint="eastAsia" w:hAnsi="宋体" w:cs="宋体"/>
                <w:szCs w:val="21"/>
              </w:rPr>
              <w:t>课程目标2</w:t>
            </w:r>
          </w:p>
        </w:tc>
        <w:tc>
          <w:tcPr>
            <w:tcW w:w="1959" w:type="dxa"/>
            <w:vAlign w:val="center"/>
          </w:tcPr>
          <w:p w14:paraId="16717C16">
            <w:pPr>
              <w:pStyle w:val="2"/>
              <w:spacing w:before="156" w:beforeLines="50" w:after="156" w:afterLines="50"/>
              <w:jc w:val="center"/>
              <w:rPr>
                <w:rFonts w:hAnsi="宋体" w:cs="宋体"/>
              </w:rPr>
            </w:pPr>
            <w:r>
              <w:rPr>
                <w:rFonts w:hint="eastAsia" w:hAnsi="宋体" w:cs="宋体"/>
              </w:rPr>
              <w:t>2.1</w:t>
            </w:r>
          </w:p>
        </w:tc>
        <w:tc>
          <w:tcPr>
            <w:tcW w:w="3118" w:type="dxa"/>
            <w:vAlign w:val="center"/>
          </w:tcPr>
          <w:p w14:paraId="1AB21B48">
            <w:pPr>
              <w:pStyle w:val="2"/>
              <w:spacing w:before="156" w:beforeLines="50" w:after="156" w:afterLines="50"/>
              <w:jc w:val="center"/>
              <w:rPr>
                <w:rFonts w:hAnsi="宋体" w:cs="宋体"/>
              </w:rPr>
            </w:pPr>
            <w:r>
              <w:rPr>
                <w:rFonts w:hint="eastAsia" w:hAnsi="宋体" w:cs="宋体"/>
              </w:rPr>
              <w:t>康德的善良意志概念</w:t>
            </w:r>
          </w:p>
        </w:tc>
        <w:tc>
          <w:tcPr>
            <w:tcW w:w="2688" w:type="dxa"/>
            <w:vAlign w:val="center"/>
          </w:tcPr>
          <w:p w14:paraId="3DCD50FA">
            <w:pPr>
              <w:pStyle w:val="2"/>
              <w:spacing w:before="156" w:beforeLines="50" w:after="156" w:afterLines="50"/>
              <w:jc w:val="center"/>
              <w:rPr>
                <w:rFonts w:hAnsi="宋体" w:cs="宋体"/>
              </w:rPr>
            </w:pPr>
            <w:r>
              <w:rPr>
                <w:rFonts w:hint="eastAsia" w:hAnsi="宋体" w:cs="宋体"/>
              </w:rPr>
              <w:t>理解基督教和康德的善良意志之间的关系</w:t>
            </w:r>
          </w:p>
        </w:tc>
      </w:tr>
      <w:tr w14:paraId="4E038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406B4FBA">
            <w:pPr>
              <w:pStyle w:val="2"/>
              <w:spacing w:before="156" w:beforeLines="50" w:after="156" w:afterLines="50"/>
              <w:jc w:val="center"/>
              <w:rPr>
                <w:rFonts w:hAnsi="宋体" w:cs="宋体"/>
                <w:szCs w:val="21"/>
              </w:rPr>
            </w:pPr>
          </w:p>
        </w:tc>
        <w:tc>
          <w:tcPr>
            <w:tcW w:w="1959" w:type="dxa"/>
            <w:vAlign w:val="center"/>
          </w:tcPr>
          <w:p w14:paraId="6FDE7686">
            <w:pPr>
              <w:pStyle w:val="2"/>
              <w:spacing w:before="156" w:beforeLines="50" w:after="156" w:afterLines="50"/>
              <w:jc w:val="center"/>
              <w:rPr>
                <w:rFonts w:hAnsi="宋体" w:cs="宋体"/>
              </w:rPr>
            </w:pPr>
            <w:r>
              <w:rPr>
                <w:rFonts w:hint="eastAsia" w:hAnsi="宋体" w:cs="宋体"/>
              </w:rPr>
              <w:t>2.2</w:t>
            </w:r>
          </w:p>
        </w:tc>
        <w:tc>
          <w:tcPr>
            <w:tcW w:w="3118" w:type="dxa"/>
            <w:vAlign w:val="center"/>
          </w:tcPr>
          <w:p w14:paraId="4475D85C">
            <w:pPr>
              <w:pStyle w:val="2"/>
              <w:spacing w:before="156" w:beforeLines="50" w:after="156" w:afterLines="50"/>
              <w:jc w:val="center"/>
              <w:rPr>
                <w:rFonts w:ascii="黑体" w:hAnsi="宋体"/>
                <w:szCs w:val="21"/>
              </w:rPr>
            </w:pPr>
            <w:r>
              <w:rPr>
                <w:rFonts w:hint="eastAsia" w:ascii="黑体" w:hAnsi="宋体"/>
                <w:szCs w:val="21"/>
              </w:rPr>
              <w:t>康德的至善概念</w:t>
            </w:r>
          </w:p>
        </w:tc>
        <w:tc>
          <w:tcPr>
            <w:tcW w:w="2688" w:type="dxa"/>
            <w:vAlign w:val="center"/>
          </w:tcPr>
          <w:p w14:paraId="77FA07A0">
            <w:pPr>
              <w:pStyle w:val="2"/>
              <w:spacing w:before="156" w:beforeLines="50" w:after="156" w:afterLines="50"/>
              <w:jc w:val="center"/>
              <w:rPr>
                <w:rFonts w:hAnsi="宋体" w:cs="宋体"/>
              </w:rPr>
            </w:pPr>
            <w:r>
              <w:rPr>
                <w:rFonts w:hint="eastAsia" w:hAnsi="宋体" w:cs="宋体"/>
              </w:rPr>
              <w:t>理解康德的至善概念</w:t>
            </w:r>
          </w:p>
        </w:tc>
      </w:tr>
      <w:tr w14:paraId="0C854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79410C1F">
            <w:pPr>
              <w:pStyle w:val="2"/>
              <w:spacing w:before="156" w:beforeLines="50" w:after="156" w:afterLines="50"/>
              <w:jc w:val="center"/>
              <w:rPr>
                <w:rFonts w:hAnsi="宋体" w:cs="宋体"/>
                <w:szCs w:val="21"/>
              </w:rPr>
            </w:pPr>
            <w:r>
              <w:rPr>
                <w:rFonts w:hint="eastAsia" w:hAnsi="宋体" w:cs="宋体"/>
                <w:szCs w:val="21"/>
              </w:rPr>
              <w:t>课程目标3</w:t>
            </w:r>
          </w:p>
        </w:tc>
        <w:tc>
          <w:tcPr>
            <w:tcW w:w="1959" w:type="dxa"/>
            <w:vAlign w:val="center"/>
          </w:tcPr>
          <w:p w14:paraId="4F7B06C9">
            <w:pPr>
              <w:pStyle w:val="2"/>
              <w:spacing w:before="156" w:beforeLines="50" w:after="156" w:afterLines="50"/>
              <w:jc w:val="center"/>
              <w:rPr>
                <w:rFonts w:hAnsi="宋体" w:cs="宋体"/>
              </w:rPr>
            </w:pPr>
            <w:r>
              <w:rPr>
                <w:rFonts w:hAnsi="宋体" w:cs="宋体"/>
              </w:rPr>
              <w:t>3.1</w:t>
            </w:r>
          </w:p>
        </w:tc>
        <w:tc>
          <w:tcPr>
            <w:tcW w:w="3118" w:type="dxa"/>
            <w:vAlign w:val="center"/>
          </w:tcPr>
          <w:p w14:paraId="3DC01ADF">
            <w:pPr>
              <w:pStyle w:val="2"/>
              <w:spacing w:before="156" w:beforeLines="50" w:after="156" w:afterLines="50"/>
              <w:jc w:val="center"/>
              <w:rPr>
                <w:rFonts w:ascii="黑体" w:hAnsi="宋体"/>
                <w:szCs w:val="21"/>
              </w:rPr>
            </w:pPr>
            <w:r>
              <w:rPr>
                <w:rFonts w:hint="eastAsia" w:ascii="黑体" w:hAnsi="宋体"/>
                <w:szCs w:val="21"/>
              </w:rPr>
              <w:t>自然美学的流派</w:t>
            </w:r>
          </w:p>
        </w:tc>
        <w:tc>
          <w:tcPr>
            <w:tcW w:w="2688" w:type="dxa"/>
            <w:vAlign w:val="center"/>
          </w:tcPr>
          <w:p w14:paraId="0DD3AC4A">
            <w:pPr>
              <w:pStyle w:val="2"/>
              <w:spacing w:before="156" w:beforeLines="50" w:after="156" w:afterLines="50"/>
              <w:jc w:val="center"/>
              <w:rPr>
                <w:rFonts w:hAnsi="宋体" w:cs="宋体"/>
              </w:rPr>
            </w:pPr>
            <w:r>
              <w:rPr>
                <w:rFonts w:hint="eastAsia" w:hAnsi="宋体" w:cs="宋体"/>
              </w:rPr>
              <w:t>荒野美学/农耕美学</w:t>
            </w:r>
          </w:p>
        </w:tc>
      </w:tr>
      <w:tr w14:paraId="652B9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70EBBD74">
            <w:pPr>
              <w:pStyle w:val="2"/>
              <w:spacing w:before="156" w:beforeLines="50" w:after="156" w:afterLines="50"/>
              <w:jc w:val="center"/>
              <w:rPr>
                <w:rFonts w:hAnsi="宋体" w:cs="宋体"/>
                <w:szCs w:val="21"/>
              </w:rPr>
            </w:pPr>
          </w:p>
        </w:tc>
        <w:tc>
          <w:tcPr>
            <w:tcW w:w="1959" w:type="dxa"/>
            <w:vAlign w:val="center"/>
          </w:tcPr>
          <w:p w14:paraId="1ECFF145">
            <w:pPr>
              <w:pStyle w:val="2"/>
              <w:spacing w:before="156" w:beforeLines="50" w:after="156" w:afterLines="50"/>
              <w:jc w:val="center"/>
              <w:rPr>
                <w:rFonts w:hAnsi="宋体" w:cs="宋体"/>
              </w:rPr>
            </w:pPr>
            <w:r>
              <w:rPr>
                <w:rFonts w:hAnsi="宋体" w:cs="宋体"/>
                <w:szCs w:val="21"/>
              </w:rPr>
              <w:t>3.2</w:t>
            </w:r>
          </w:p>
        </w:tc>
        <w:tc>
          <w:tcPr>
            <w:tcW w:w="3118" w:type="dxa"/>
            <w:vAlign w:val="center"/>
          </w:tcPr>
          <w:p w14:paraId="2A67ADB9">
            <w:pPr>
              <w:pStyle w:val="2"/>
              <w:spacing w:before="156" w:beforeLines="50" w:after="156" w:afterLines="50"/>
              <w:jc w:val="center"/>
              <w:rPr>
                <w:rFonts w:ascii="黑体" w:hAnsi="宋体"/>
                <w:szCs w:val="21"/>
              </w:rPr>
            </w:pPr>
            <w:r>
              <w:rPr>
                <w:rFonts w:hint="eastAsia" w:ascii="黑体" w:hAnsi="宋体"/>
                <w:szCs w:val="21"/>
              </w:rPr>
              <w:t>自然美学与环保之间的关系</w:t>
            </w:r>
          </w:p>
        </w:tc>
        <w:tc>
          <w:tcPr>
            <w:tcW w:w="2688" w:type="dxa"/>
            <w:vAlign w:val="center"/>
          </w:tcPr>
          <w:p w14:paraId="66805AE3">
            <w:pPr>
              <w:pStyle w:val="2"/>
              <w:spacing w:before="156" w:beforeLines="50" w:after="156" w:afterLines="50"/>
              <w:jc w:val="center"/>
              <w:rPr>
                <w:rFonts w:hAnsi="宋体" w:cs="宋体"/>
              </w:rPr>
            </w:pPr>
            <w:r>
              <w:rPr>
                <w:rFonts w:hint="eastAsia" w:hAnsi="宋体" w:cs="宋体"/>
              </w:rPr>
              <w:t>美国荒野保护法案</w:t>
            </w:r>
          </w:p>
        </w:tc>
      </w:tr>
    </w:tbl>
    <w:p w14:paraId="54658555">
      <w:pPr>
        <w:spacing w:before="156" w:beforeLines="50" w:after="156" w:afterLines="50" w:line="360" w:lineRule="auto"/>
        <w:ind w:firstLine="420" w:firstLineChars="200"/>
        <w:rPr>
          <w:rFonts w:ascii="宋体" w:hAnsi="宋体" w:eastAsia="宋体"/>
          <w:szCs w:val="21"/>
        </w:rPr>
      </w:pPr>
      <w:r>
        <w:rPr>
          <w:rFonts w:hint="eastAsia" w:ascii="宋体" w:hAnsi="宋体" w:eastAsia="宋体"/>
          <w:szCs w:val="21"/>
        </w:rPr>
        <w:t>（各专业开设的学科基础课程、专业核心课程、综合实践课程及专业选修课程按照本科教学手册中各专业拟定的毕业要求填写“对应毕业要求”栏。通识选修课程、新生研讨课程、思政教育课程及东吴学院开设的基础教育课程，面向专业为工科、师范、医学等有专业认证标准的专业，按照专业认证通用标准填写“对应毕业要求”栏；面向其他尚未有专业认证标准的专业，按照本科教学手册中各专业拟定的毕业要求填写“对应毕业要求”栏。）</w:t>
      </w:r>
    </w:p>
    <w:p w14:paraId="55B8F966">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14:paraId="4A46F28A">
      <w:pPr>
        <w:widowControl/>
        <w:spacing w:before="156" w:beforeLines="50" w:after="156" w:afterLines="50"/>
        <w:ind w:firstLine="482" w:firstLineChars="200"/>
        <w:jc w:val="left"/>
      </w:pPr>
      <w:r>
        <w:rPr>
          <w:rFonts w:hint="eastAsia" w:ascii="黑体" w:hAnsi="黑体" w:eastAsia="黑体" w:cs="Times New Roman"/>
          <w:b/>
          <w:sz w:val="24"/>
          <w:szCs w:val="24"/>
        </w:rPr>
        <w:t>第一章 亚里士多德的美德与幸福</w:t>
      </w:r>
    </w:p>
    <w:p w14:paraId="1ED3720D">
      <w:pPr>
        <w:widowControl/>
        <w:spacing w:before="156" w:beforeLines="50" w:after="156" w:afterLines="50"/>
        <w:ind w:firstLine="420" w:firstLineChars="200"/>
        <w:jc w:val="left"/>
        <w:rPr>
          <w:rFonts w:ascii="宋体" w:hAnsi="宋体" w:eastAsia="宋体"/>
          <w:szCs w:val="21"/>
        </w:rPr>
      </w:pPr>
      <w:bookmarkStart w:id="0" w:name="_Hlk176032562"/>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让学生掌握亚里士多德的幸福概念</w:t>
      </w:r>
    </w:p>
    <w:p w14:paraId="30CB0F00">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 德性</w:t>
      </w:r>
    </w:p>
    <w:p w14:paraId="790B4844">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 德性、理性和幸福三者的关系</w:t>
      </w:r>
    </w:p>
    <w:p w14:paraId="40E04DAB">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课堂阅读讨论</w:t>
      </w:r>
    </w:p>
    <w:p w14:paraId="7810616C">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 阅读笔记</w:t>
      </w:r>
    </w:p>
    <w:bookmarkEnd w:id="0"/>
    <w:p w14:paraId="06CBA39C">
      <w:pPr>
        <w:widowControl/>
        <w:spacing w:before="156" w:beforeLines="50" w:after="156" w:afterLines="50"/>
        <w:ind w:firstLine="482" w:firstLineChars="200"/>
        <w:jc w:val="left"/>
        <w:rPr>
          <w:rFonts w:ascii="黑体" w:hAnsi="黑体" w:eastAsia="黑体" w:cs="Times New Roman"/>
          <w:b/>
          <w:sz w:val="24"/>
          <w:szCs w:val="24"/>
        </w:rPr>
      </w:pPr>
      <w:bookmarkStart w:id="1" w:name="_Hlk176032390"/>
      <w:r>
        <w:rPr>
          <w:rFonts w:hint="eastAsia" w:ascii="黑体" w:hAnsi="黑体" w:eastAsia="黑体" w:cs="Times New Roman"/>
          <w:b/>
          <w:sz w:val="24"/>
          <w:szCs w:val="24"/>
        </w:rPr>
        <w:t xml:space="preserve">第二章 </w:t>
      </w:r>
      <w:bookmarkEnd w:id="1"/>
      <w:r>
        <w:rPr>
          <w:rFonts w:hint="eastAsia" w:ascii="黑体" w:hAnsi="黑体" w:eastAsia="黑体" w:cs="Times New Roman"/>
          <w:b/>
          <w:sz w:val="24"/>
          <w:szCs w:val="24"/>
        </w:rPr>
        <w:t>康德的义务论</w:t>
      </w:r>
    </w:p>
    <w:p w14:paraId="1720E3B8">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让学生掌握康德义务论</w:t>
      </w:r>
    </w:p>
    <w:p w14:paraId="63CCCC14">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 善良意志</w:t>
      </w:r>
    </w:p>
    <w:p w14:paraId="42BE0AFC">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 义务、德性与至善</w:t>
      </w:r>
    </w:p>
    <w:p w14:paraId="0FB838B8">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课堂阅读讨论</w:t>
      </w:r>
    </w:p>
    <w:p w14:paraId="2964B626">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 阅读笔记</w:t>
      </w:r>
    </w:p>
    <w:p w14:paraId="33B4E0DC">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第三章 价值与力量</w:t>
      </w:r>
    </w:p>
    <w:p w14:paraId="5D560B3E">
      <w:pPr>
        <w:widowControl/>
        <w:spacing w:before="156" w:beforeLines="50" w:after="156" w:afterLines="50"/>
        <w:ind w:firstLine="420" w:firstLineChars="200"/>
        <w:jc w:val="left"/>
        <w:rPr>
          <w:rFonts w:ascii="宋体" w:hAnsi="宋体" w:eastAsia="宋体"/>
          <w:szCs w:val="21"/>
        </w:rPr>
      </w:pPr>
      <w:bookmarkStart w:id="2" w:name="_Hlk176032843"/>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让学生以价值和力量这样的核心哲学范畴来解释西方哲学</w:t>
      </w:r>
    </w:p>
    <w:p w14:paraId="48FA2C6E">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 价值与力量的关系</w:t>
      </w:r>
    </w:p>
    <w:p w14:paraId="408748CF">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 中西哲学流派对价值与力量的解释</w:t>
      </w:r>
    </w:p>
    <w:p w14:paraId="210106AA">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课堂阅读讨论</w:t>
      </w:r>
    </w:p>
    <w:p w14:paraId="07E7A949">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 阅读笔记</w:t>
      </w:r>
    </w:p>
    <w:bookmarkEnd w:id="2"/>
    <w:p w14:paraId="459D7B37">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第四章 日常美学</w:t>
      </w:r>
    </w:p>
    <w:p w14:paraId="1F747A6D">
      <w:pPr>
        <w:widowControl/>
        <w:spacing w:before="156" w:beforeLines="50" w:after="156" w:afterLines="50"/>
        <w:ind w:firstLine="420" w:firstLineChars="200"/>
        <w:jc w:val="left"/>
        <w:rPr>
          <w:rFonts w:ascii="宋体" w:hAnsi="宋体" w:eastAsia="宋体"/>
          <w:szCs w:val="21"/>
        </w:rPr>
      </w:pPr>
      <w:bookmarkStart w:id="3" w:name="_Hlk176032900"/>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让学生掌握日常美学的主要流派</w:t>
      </w:r>
    </w:p>
    <w:p w14:paraId="52897C57">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 日常美学的核心范畴</w:t>
      </w:r>
    </w:p>
    <w:p w14:paraId="7F740026">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 日常美学产生的文化背景</w:t>
      </w:r>
    </w:p>
    <w:p w14:paraId="2036BD40">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课堂阅读讨论</w:t>
      </w:r>
    </w:p>
    <w:p w14:paraId="3ABDD1BB">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 阅读笔记</w:t>
      </w:r>
    </w:p>
    <w:bookmarkEnd w:id="3"/>
    <w:p w14:paraId="154FE7A2">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第五章 庄子的美学</w:t>
      </w:r>
    </w:p>
    <w:p w14:paraId="00C6AC39">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让学生掌握庄子的美学范畴</w:t>
      </w:r>
    </w:p>
    <w:p w14:paraId="60C9A98C">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 庄子著作中的“美”</w:t>
      </w:r>
    </w:p>
    <w:p w14:paraId="337A4B75">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 美与逍遥游的人生态度</w:t>
      </w:r>
    </w:p>
    <w:p w14:paraId="75ADA683">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课堂阅读讨论</w:t>
      </w:r>
    </w:p>
    <w:p w14:paraId="21D9D5B8">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 阅读笔记</w:t>
      </w:r>
    </w:p>
    <w:p w14:paraId="373ED7CF">
      <w:pPr>
        <w:widowControl/>
        <w:spacing w:before="156" w:beforeLines="50" w:after="156" w:afterLines="50"/>
        <w:ind w:firstLine="482" w:firstLineChars="200"/>
        <w:jc w:val="left"/>
        <w:rPr>
          <w:rFonts w:ascii="黑体" w:hAnsi="黑体" w:eastAsia="黑体" w:cs="Times New Roman"/>
          <w:b/>
          <w:sz w:val="24"/>
          <w:szCs w:val="24"/>
        </w:rPr>
      </w:pPr>
    </w:p>
    <w:p w14:paraId="4D505AF5">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第六章 自然美学与立法</w:t>
      </w:r>
    </w:p>
    <w:p w14:paraId="3CE8BD80">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让学生了解自然美学与环境立法之间的关系</w:t>
      </w:r>
    </w:p>
    <w:p w14:paraId="47BAA02E">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 美学与立法的关系</w:t>
      </w:r>
    </w:p>
    <w:p w14:paraId="5D9FE5E4">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 美学与自然保护</w:t>
      </w:r>
    </w:p>
    <w:p w14:paraId="5A434C38">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课堂阅读讨论</w:t>
      </w:r>
    </w:p>
    <w:p w14:paraId="62CFEBDD">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 阅读笔记</w:t>
      </w:r>
    </w:p>
    <w:p w14:paraId="14CB46C2">
      <w:pPr>
        <w:widowControl/>
        <w:spacing w:before="156" w:beforeLines="50" w:after="156" w:afterLines="50"/>
        <w:ind w:firstLine="420" w:firstLineChars="200"/>
        <w:jc w:val="left"/>
      </w:pPr>
    </w:p>
    <w:p w14:paraId="1EBE4731">
      <w:pPr>
        <w:widowControl/>
        <w:spacing w:before="156" w:beforeLines="50" w:after="156" w:afterLines="50"/>
        <w:ind w:firstLine="562" w:firstLineChars="200"/>
        <w:jc w:val="left"/>
      </w:pPr>
      <w:r>
        <w:rPr>
          <w:rFonts w:hint="eastAsia" w:ascii="黑体" w:hAnsi="黑体" w:eastAsia="黑体"/>
          <w:b/>
          <w:sz w:val="28"/>
          <w:szCs w:val="28"/>
        </w:rPr>
        <w:t>四、学时分配</w:t>
      </w:r>
    </w:p>
    <w:p w14:paraId="04BDE2A5">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14:paraId="3A919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03AC7E21">
            <w:pPr>
              <w:widowControl/>
              <w:spacing w:before="156" w:beforeLines="50" w:after="156" w:afterLines="50"/>
              <w:jc w:val="center"/>
              <w:rPr>
                <w:rFonts w:ascii="宋体" w:hAnsi="宋体" w:eastAsia="宋体"/>
              </w:rPr>
            </w:pPr>
            <w:r>
              <w:rPr>
                <w:rFonts w:hint="eastAsia" w:ascii="宋体" w:hAnsi="宋体" w:eastAsia="宋体"/>
              </w:rPr>
              <w:t>章节</w:t>
            </w:r>
          </w:p>
        </w:tc>
        <w:tc>
          <w:tcPr>
            <w:tcW w:w="2765" w:type="dxa"/>
            <w:vAlign w:val="center"/>
          </w:tcPr>
          <w:p w14:paraId="0B6F7595">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2766" w:type="dxa"/>
            <w:vAlign w:val="center"/>
          </w:tcPr>
          <w:p w14:paraId="4DFE9471">
            <w:pPr>
              <w:widowControl/>
              <w:spacing w:before="156" w:beforeLines="50" w:after="156" w:afterLines="50"/>
              <w:jc w:val="center"/>
              <w:rPr>
                <w:rFonts w:ascii="宋体" w:hAnsi="宋体" w:eastAsia="宋体"/>
              </w:rPr>
            </w:pPr>
            <w:r>
              <w:rPr>
                <w:rFonts w:hint="eastAsia" w:ascii="宋体" w:hAnsi="宋体" w:eastAsia="宋体"/>
              </w:rPr>
              <w:t>学时分配</w:t>
            </w:r>
          </w:p>
        </w:tc>
      </w:tr>
      <w:tr w14:paraId="61CF4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7FA2984B">
            <w:pPr>
              <w:widowControl/>
              <w:spacing w:before="156" w:beforeLines="50" w:after="156" w:afterLines="50"/>
              <w:jc w:val="center"/>
              <w:rPr>
                <w:rFonts w:ascii="宋体" w:hAnsi="宋体" w:eastAsia="宋体"/>
              </w:rPr>
            </w:pPr>
            <w:r>
              <w:rPr>
                <w:rFonts w:hint="eastAsia" w:ascii="宋体" w:hAnsi="宋体" w:eastAsia="宋体"/>
              </w:rPr>
              <w:t>第一章</w:t>
            </w:r>
          </w:p>
        </w:tc>
        <w:tc>
          <w:tcPr>
            <w:tcW w:w="2765" w:type="dxa"/>
            <w:vAlign w:val="center"/>
          </w:tcPr>
          <w:p w14:paraId="1BB97EAB">
            <w:pPr>
              <w:widowControl/>
              <w:spacing w:before="156" w:beforeLines="50" w:after="156" w:afterLines="50"/>
              <w:jc w:val="center"/>
              <w:rPr>
                <w:rFonts w:ascii="宋体" w:hAnsi="宋体" w:eastAsia="宋体"/>
              </w:rPr>
            </w:pPr>
            <w:r>
              <w:rPr>
                <w:rFonts w:hint="eastAsia" w:ascii="宋体" w:hAnsi="宋体" w:eastAsia="宋体"/>
              </w:rPr>
              <w:t>亚里士多德的德性与幸福</w:t>
            </w:r>
          </w:p>
        </w:tc>
        <w:tc>
          <w:tcPr>
            <w:tcW w:w="2766" w:type="dxa"/>
            <w:vAlign w:val="center"/>
          </w:tcPr>
          <w:p w14:paraId="363D1EB1">
            <w:pPr>
              <w:widowControl/>
              <w:spacing w:before="156" w:beforeLines="50" w:after="156" w:afterLines="50"/>
              <w:jc w:val="center"/>
              <w:rPr>
                <w:rFonts w:ascii="宋体" w:hAnsi="宋体" w:eastAsia="宋体"/>
              </w:rPr>
            </w:pPr>
            <w:r>
              <w:rPr>
                <w:rFonts w:hint="eastAsia" w:ascii="宋体" w:hAnsi="宋体" w:eastAsia="宋体"/>
              </w:rPr>
              <w:t>6</w:t>
            </w:r>
          </w:p>
        </w:tc>
      </w:tr>
      <w:tr w14:paraId="6CE0C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688EBB91">
            <w:pPr>
              <w:widowControl/>
              <w:spacing w:before="156" w:beforeLines="50" w:after="156" w:afterLines="50"/>
              <w:jc w:val="center"/>
              <w:rPr>
                <w:rFonts w:ascii="宋体" w:hAnsi="宋体" w:eastAsia="宋体"/>
              </w:rPr>
            </w:pPr>
            <w:r>
              <w:rPr>
                <w:rFonts w:hint="eastAsia" w:ascii="宋体" w:hAnsi="宋体" w:eastAsia="宋体"/>
              </w:rPr>
              <w:t>第二章</w:t>
            </w:r>
          </w:p>
        </w:tc>
        <w:tc>
          <w:tcPr>
            <w:tcW w:w="2765" w:type="dxa"/>
            <w:vAlign w:val="center"/>
          </w:tcPr>
          <w:p w14:paraId="46BE9160">
            <w:pPr>
              <w:widowControl/>
              <w:spacing w:before="156" w:beforeLines="50" w:after="156" w:afterLines="50"/>
              <w:jc w:val="center"/>
              <w:rPr>
                <w:rFonts w:ascii="宋体" w:hAnsi="宋体" w:eastAsia="宋体"/>
              </w:rPr>
            </w:pPr>
            <w:r>
              <w:rPr>
                <w:rFonts w:hint="eastAsia" w:ascii="宋体" w:hAnsi="宋体" w:eastAsia="宋体"/>
              </w:rPr>
              <w:t>康德的义务论</w:t>
            </w:r>
          </w:p>
        </w:tc>
        <w:tc>
          <w:tcPr>
            <w:tcW w:w="2766" w:type="dxa"/>
            <w:vAlign w:val="center"/>
          </w:tcPr>
          <w:p w14:paraId="17DBF8B4">
            <w:pPr>
              <w:widowControl/>
              <w:spacing w:before="156" w:beforeLines="50" w:after="156" w:afterLines="50"/>
              <w:jc w:val="center"/>
              <w:rPr>
                <w:rFonts w:ascii="宋体" w:hAnsi="宋体" w:eastAsia="宋体"/>
              </w:rPr>
            </w:pPr>
            <w:r>
              <w:rPr>
                <w:rFonts w:hint="eastAsia" w:ascii="宋体" w:hAnsi="宋体" w:eastAsia="宋体"/>
              </w:rPr>
              <w:t>6</w:t>
            </w:r>
          </w:p>
        </w:tc>
      </w:tr>
      <w:tr w14:paraId="43226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0696E2B2">
            <w:pPr>
              <w:widowControl/>
              <w:spacing w:before="156" w:beforeLines="50" w:after="156" w:afterLines="50"/>
              <w:jc w:val="center"/>
              <w:rPr>
                <w:rFonts w:ascii="宋体" w:hAnsi="宋体" w:eastAsia="宋体"/>
              </w:rPr>
            </w:pPr>
            <w:r>
              <w:rPr>
                <w:rFonts w:hint="eastAsia" w:ascii="宋体" w:hAnsi="宋体" w:eastAsia="宋体"/>
              </w:rPr>
              <w:t>第三章</w:t>
            </w:r>
          </w:p>
        </w:tc>
        <w:tc>
          <w:tcPr>
            <w:tcW w:w="2765" w:type="dxa"/>
            <w:vAlign w:val="center"/>
          </w:tcPr>
          <w:p w14:paraId="65836CCD">
            <w:pPr>
              <w:widowControl/>
              <w:spacing w:before="156" w:beforeLines="50" w:after="156" w:afterLines="50"/>
              <w:jc w:val="center"/>
              <w:rPr>
                <w:rFonts w:ascii="宋体" w:hAnsi="宋体" w:eastAsia="宋体"/>
              </w:rPr>
            </w:pPr>
            <w:r>
              <w:rPr>
                <w:rFonts w:hint="eastAsia" w:ascii="宋体" w:hAnsi="宋体" w:eastAsia="宋体"/>
              </w:rPr>
              <w:t>价值与力量</w:t>
            </w:r>
          </w:p>
        </w:tc>
        <w:tc>
          <w:tcPr>
            <w:tcW w:w="2766" w:type="dxa"/>
            <w:vAlign w:val="center"/>
          </w:tcPr>
          <w:p w14:paraId="7DF1DFC4">
            <w:pPr>
              <w:widowControl/>
              <w:spacing w:before="156" w:beforeLines="50" w:after="156" w:afterLines="50"/>
              <w:jc w:val="center"/>
              <w:rPr>
                <w:rFonts w:ascii="宋体" w:hAnsi="宋体" w:eastAsia="宋体"/>
              </w:rPr>
            </w:pPr>
            <w:r>
              <w:rPr>
                <w:rFonts w:hint="eastAsia" w:ascii="宋体" w:hAnsi="宋体" w:eastAsia="宋体"/>
              </w:rPr>
              <w:t>6</w:t>
            </w:r>
          </w:p>
        </w:tc>
      </w:tr>
      <w:tr w14:paraId="7C79E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19C6FA4A">
            <w:pPr>
              <w:widowControl/>
              <w:spacing w:before="156" w:beforeLines="50" w:after="156" w:afterLines="50"/>
              <w:jc w:val="center"/>
              <w:rPr>
                <w:rFonts w:ascii="宋体" w:hAnsi="宋体" w:eastAsia="宋体"/>
              </w:rPr>
            </w:pPr>
            <w:r>
              <w:rPr>
                <w:rFonts w:hint="eastAsia" w:ascii="宋体" w:hAnsi="宋体" w:eastAsia="宋体"/>
              </w:rPr>
              <w:t>第四章</w:t>
            </w:r>
          </w:p>
        </w:tc>
        <w:tc>
          <w:tcPr>
            <w:tcW w:w="2765" w:type="dxa"/>
            <w:vAlign w:val="center"/>
          </w:tcPr>
          <w:p w14:paraId="017CA248">
            <w:pPr>
              <w:widowControl/>
              <w:spacing w:before="156" w:beforeLines="50" w:after="156" w:afterLines="50"/>
              <w:jc w:val="center"/>
              <w:rPr>
                <w:rFonts w:ascii="宋体" w:hAnsi="宋体" w:eastAsia="宋体"/>
              </w:rPr>
            </w:pPr>
            <w:r>
              <w:rPr>
                <w:rFonts w:hint="eastAsia" w:ascii="宋体" w:hAnsi="宋体" w:eastAsia="宋体"/>
              </w:rPr>
              <w:t>日常美学</w:t>
            </w:r>
          </w:p>
        </w:tc>
        <w:tc>
          <w:tcPr>
            <w:tcW w:w="2766" w:type="dxa"/>
            <w:vAlign w:val="center"/>
          </w:tcPr>
          <w:p w14:paraId="256A5CE1">
            <w:pPr>
              <w:widowControl/>
              <w:spacing w:before="156" w:beforeLines="50" w:after="156" w:afterLines="50"/>
              <w:jc w:val="center"/>
              <w:rPr>
                <w:rFonts w:ascii="宋体" w:hAnsi="宋体" w:eastAsia="宋体"/>
              </w:rPr>
            </w:pPr>
            <w:r>
              <w:rPr>
                <w:rFonts w:hint="eastAsia" w:ascii="宋体" w:hAnsi="宋体" w:eastAsia="宋体"/>
              </w:rPr>
              <w:t>6</w:t>
            </w:r>
          </w:p>
        </w:tc>
      </w:tr>
      <w:tr w14:paraId="76EAE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6C24F4EA">
            <w:pPr>
              <w:widowControl/>
              <w:spacing w:before="156" w:beforeLines="50" w:after="156" w:afterLines="50"/>
              <w:jc w:val="center"/>
              <w:rPr>
                <w:rFonts w:ascii="宋体" w:hAnsi="宋体" w:eastAsia="宋体"/>
              </w:rPr>
            </w:pPr>
            <w:r>
              <w:rPr>
                <w:rFonts w:hint="eastAsia" w:ascii="宋体" w:hAnsi="宋体" w:eastAsia="宋体"/>
              </w:rPr>
              <w:t>第五章</w:t>
            </w:r>
          </w:p>
        </w:tc>
        <w:tc>
          <w:tcPr>
            <w:tcW w:w="2765" w:type="dxa"/>
            <w:vAlign w:val="center"/>
          </w:tcPr>
          <w:p w14:paraId="60D4AC38">
            <w:pPr>
              <w:widowControl/>
              <w:spacing w:before="156" w:beforeLines="50" w:after="156" w:afterLines="50"/>
              <w:jc w:val="center"/>
              <w:rPr>
                <w:rFonts w:ascii="宋体" w:hAnsi="宋体" w:eastAsia="宋体"/>
              </w:rPr>
            </w:pPr>
            <w:r>
              <w:rPr>
                <w:rFonts w:hint="eastAsia" w:ascii="宋体" w:hAnsi="宋体" w:eastAsia="宋体"/>
              </w:rPr>
              <w:t>庄子的美学</w:t>
            </w:r>
          </w:p>
        </w:tc>
        <w:tc>
          <w:tcPr>
            <w:tcW w:w="2766" w:type="dxa"/>
            <w:vAlign w:val="center"/>
          </w:tcPr>
          <w:p w14:paraId="59DFB9E2">
            <w:pPr>
              <w:widowControl/>
              <w:spacing w:before="156" w:beforeLines="50" w:after="156" w:afterLines="50"/>
              <w:jc w:val="center"/>
              <w:rPr>
                <w:rFonts w:ascii="宋体" w:hAnsi="宋体" w:eastAsia="宋体"/>
              </w:rPr>
            </w:pPr>
            <w:r>
              <w:rPr>
                <w:rFonts w:hint="eastAsia" w:ascii="宋体" w:hAnsi="宋体" w:eastAsia="宋体"/>
              </w:rPr>
              <w:t>6</w:t>
            </w:r>
          </w:p>
        </w:tc>
      </w:tr>
      <w:tr w14:paraId="25D53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2DE9C737">
            <w:pPr>
              <w:widowControl/>
              <w:spacing w:before="156" w:beforeLines="50" w:after="156" w:afterLines="50"/>
              <w:jc w:val="center"/>
              <w:rPr>
                <w:rFonts w:ascii="宋体" w:hAnsi="宋体" w:eastAsia="宋体"/>
              </w:rPr>
            </w:pPr>
            <w:r>
              <w:rPr>
                <w:rFonts w:hint="eastAsia" w:ascii="宋体" w:hAnsi="宋体" w:eastAsia="宋体"/>
              </w:rPr>
              <w:t>第六章</w:t>
            </w:r>
          </w:p>
        </w:tc>
        <w:tc>
          <w:tcPr>
            <w:tcW w:w="2765" w:type="dxa"/>
            <w:vAlign w:val="center"/>
          </w:tcPr>
          <w:p w14:paraId="7C8C55C7">
            <w:pPr>
              <w:widowControl/>
              <w:spacing w:before="156" w:beforeLines="50" w:after="156" w:afterLines="50"/>
              <w:jc w:val="center"/>
              <w:rPr>
                <w:rFonts w:ascii="宋体" w:hAnsi="宋体" w:eastAsia="宋体"/>
              </w:rPr>
            </w:pPr>
            <w:r>
              <w:rPr>
                <w:rFonts w:hint="eastAsia" w:ascii="宋体" w:hAnsi="宋体" w:eastAsia="宋体"/>
              </w:rPr>
              <w:t>美学与立法</w:t>
            </w:r>
          </w:p>
        </w:tc>
        <w:tc>
          <w:tcPr>
            <w:tcW w:w="2766" w:type="dxa"/>
            <w:vAlign w:val="center"/>
          </w:tcPr>
          <w:p w14:paraId="2EC3BA77">
            <w:pPr>
              <w:widowControl/>
              <w:spacing w:before="156" w:beforeLines="50" w:after="156" w:afterLines="50"/>
              <w:jc w:val="center"/>
              <w:rPr>
                <w:rFonts w:ascii="宋体" w:hAnsi="宋体" w:eastAsia="宋体"/>
              </w:rPr>
            </w:pPr>
            <w:r>
              <w:rPr>
                <w:rFonts w:hint="eastAsia" w:ascii="宋体" w:hAnsi="宋体" w:eastAsia="宋体"/>
              </w:rPr>
              <w:t>6</w:t>
            </w:r>
          </w:p>
        </w:tc>
      </w:tr>
    </w:tbl>
    <w:p w14:paraId="5891F7E7">
      <w:pPr>
        <w:widowControl/>
        <w:spacing w:before="156" w:beforeLines="50" w:after="156" w:afterLines="50"/>
        <w:ind w:firstLine="562" w:firstLineChars="200"/>
        <w:jc w:val="left"/>
      </w:pPr>
      <w:r>
        <w:rPr>
          <w:rFonts w:hint="eastAsia" w:ascii="黑体" w:hAnsi="黑体" w:eastAsia="黑体"/>
          <w:b/>
          <w:sz w:val="28"/>
          <w:szCs w:val="28"/>
        </w:rPr>
        <w:t>五、教学进度</w:t>
      </w:r>
    </w:p>
    <w:p w14:paraId="72E039F3">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929"/>
        <w:gridCol w:w="1145"/>
        <w:gridCol w:w="1145"/>
        <w:gridCol w:w="1145"/>
        <w:gridCol w:w="1386"/>
        <w:gridCol w:w="904"/>
      </w:tblGrid>
      <w:tr w14:paraId="14500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1F1C01BC">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929" w:type="dxa"/>
            <w:vAlign w:val="center"/>
          </w:tcPr>
          <w:p w14:paraId="107B56DA">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1145" w:type="dxa"/>
            <w:vAlign w:val="center"/>
          </w:tcPr>
          <w:p w14:paraId="66BF9C98">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1145" w:type="dxa"/>
            <w:vAlign w:val="center"/>
          </w:tcPr>
          <w:p w14:paraId="5FE76449">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1145" w:type="dxa"/>
            <w:vAlign w:val="center"/>
          </w:tcPr>
          <w:p w14:paraId="4AFF2208">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1386" w:type="dxa"/>
            <w:vAlign w:val="center"/>
          </w:tcPr>
          <w:p w14:paraId="38C95AC2">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904" w:type="dxa"/>
            <w:vAlign w:val="center"/>
          </w:tcPr>
          <w:p w14:paraId="1FAB93C1">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14:paraId="72169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5E1C54E3">
            <w:pPr>
              <w:widowControl/>
              <w:spacing w:before="156" w:beforeLines="50" w:after="156" w:afterLines="50"/>
              <w:jc w:val="center"/>
              <w:rPr>
                <w:rFonts w:ascii="宋体" w:hAnsi="宋体" w:eastAsia="宋体"/>
                <w:szCs w:val="21"/>
              </w:rPr>
            </w:pPr>
            <w:r>
              <w:rPr>
                <w:rFonts w:hint="eastAsia" w:ascii="宋体" w:hAnsi="宋体" w:eastAsia="宋体"/>
                <w:szCs w:val="21"/>
              </w:rPr>
              <w:t>1</w:t>
            </w:r>
          </w:p>
        </w:tc>
        <w:tc>
          <w:tcPr>
            <w:tcW w:w="929" w:type="dxa"/>
            <w:vAlign w:val="center"/>
          </w:tcPr>
          <w:p w14:paraId="7FF16E97">
            <w:pPr>
              <w:widowControl/>
              <w:spacing w:before="156" w:beforeLines="50" w:after="156" w:afterLines="50"/>
              <w:jc w:val="center"/>
              <w:rPr>
                <w:rFonts w:ascii="宋体" w:hAnsi="宋体" w:eastAsia="宋体"/>
                <w:szCs w:val="21"/>
              </w:rPr>
            </w:pPr>
            <w:r>
              <w:rPr>
                <w:rFonts w:hint="eastAsia" w:ascii="宋体" w:hAnsi="宋体" w:eastAsia="宋体"/>
                <w:szCs w:val="21"/>
              </w:rPr>
              <w:t>2/7</w:t>
            </w:r>
          </w:p>
        </w:tc>
        <w:tc>
          <w:tcPr>
            <w:tcW w:w="1145" w:type="dxa"/>
            <w:vAlign w:val="center"/>
          </w:tcPr>
          <w:p w14:paraId="6C2C86CC">
            <w:pPr>
              <w:widowControl/>
              <w:spacing w:before="156" w:beforeLines="50" w:after="156" w:afterLines="50"/>
              <w:jc w:val="center"/>
              <w:rPr>
                <w:rFonts w:ascii="宋体" w:hAnsi="宋体" w:eastAsia="宋体"/>
                <w:szCs w:val="21"/>
              </w:rPr>
            </w:pPr>
            <w:r>
              <w:rPr>
                <w:rFonts w:hint="eastAsia" w:ascii="宋体" w:hAnsi="宋体" w:eastAsia="宋体"/>
                <w:szCs w:val="21"/>
              </w:rPr>
              <w:t>第一章</w:t>
            </w:r>
          </w:p>
        </w:tc>
        <w:tc>
          <w:tcPr>
            <w:tcW w:w="1145" w:type="dxa"/>
            <w:vAlign w:val="center"/>
          </w:tcPr>
          <w:p w14:paraId="033C2857">
            <w:pPr>
              <w:widowControl/>
              <w:spacing w:before="156" w:beforeLines="50" w:after="156" w:afterLines="50"/>
              <w:jc w:val="center"/>
              <w:rPr>
                <w:rFonts w:ascii="宋体" w:hAnsi="宋体" w:eastAsia="宋体"/>
                <w:szCs w:val="21"/>
              </w:rPr>
            </w:pPr>
            <w:r>
              <w:rPr>
                <w:rFonts w:hint="eastAsia" w:ascii="宋体" w:hAnsi="宋体" w:eastAsia="宋体"/>
                <w:szCs w:val="21"/>
              </w:rPr>
              <w:t>亚里士多德的德性与幸福</w:t>
            </w:r>
          </w:p>
        </w:tc>
        <w:tc>
          <w:tcPr>
            <w:tcW w:w="1145" w:type="dxa"/>
            <w:vAlign w:val="center"/>
          </w:tcPr>
          <w:p w14:paraId="35E43832">
            <w:pPr>
              <w:widowControl/>
              <w:spacing w:before="156" w:beforeLines="50" w:after="156" w:afterLines="50"/>
              <w:jc w:val="center"/>
              <w:rPr>
                <w:rFonts w:ascii="宋体" w:hAnsi="宋体" w:eastAsia="宋体"/>
                <w:szCs w:val="21"/>
              </w:rPr>
            </w:pPr>
            <w:r>
              <w:rPr>
                <w:rFonts w:hint="eastAsia" w:ascii="宋体" w:hAnsi="宋体" w:eastAsia="宋体"/>
                <w:szCs w:val="21"/>
              </w:rPr>
              <w:t>9</w:t>
            </w:r>
          </w:p>
        </w:tc>
        <w:tc>
          <w:tcPr>
            <w:tcW w:w="1386" w:type="dxa"/>
            <w:vAlign w:val="center"/>
          </w:tcPr>
          <w:p w14:paraId="0F4C9E8D">
            <w:pPr>
              <w:widowControl/>
              <w:spacing w:before="156" w:beforeLines="50" w:after="156" w:afterLines="50"/>
              <w:jc w:val="center"/>
              <w:rPr>
                <w:rFonts w:ascii="宋体" w:hAnsi="宋体" w:eastAsia="宋体"/>
                <w:szCs w:val="21"/>
              </w:rPr>
            </w:pPr>
            <w:r>
              <w:rPr>
                <w:rFonts w:hint="eastAsia" w:ascii="宋体" w:hAnsi="宋体" w:eastAsia="宋体"/>
                <w:szCs w:val="21"/>
              </w:rPr>
              <w:t>阅读笔记</w:t>
            </w:r>
          </w:p>
        </w:tc>
        <w:tc>
          <w:tcPr>
            <w:tcW w:w="904" w:type="dxa"/>
            <w:vAlign w:val="center"/>
          </w:tcPr>
          <w:p w14:paraId="096B3D2D">
            <w:pPr>
              <w:widowControl/>
              <w:spacing w:before="156" w:beforeLines="50" w:after="156" w:afterLines="50"/>
              <w:jc w:val="center"/>
              <w:rPr>
                <w:rFonts w:ascii="宋体" w:hAnsi="宋体" w:eastAsia="宋体"/>
                <w:szCs w:val="21"/>
              </w:rPr>
            </w:pPr>
          </w:p>
        </w:tc>
      </w:tr>
      <w:tr w14:paraId="7C05D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66FC70CF">
            <w:pPr>
              <w:widowControl/>
              <w:spacing w:before="156" w:beforeLines="50" w:after="156" w:afterLines="50"/>
              <w:jc w:val="center"/>
              <w:rPr>
                <w:rFonts w:ascii="宋体" w:hAnsi="宋体" w:eastAsia="宋体"/>
                <w:szCs w:val="21"/>
              </w:rPr>
            </w:pPr>
            <w:r>
              <w:rPr>
                <w:rFonts w:hint="eastAsia" w:ascii="宋体" w:hAnsi="宋体" w:eastAsia="宋体"/>
                <w:szCs w:val="21"/>
              </w:rPr>
              <w:t>2</w:t>
            </w:r>
            <w:r>
              <w:rPr>
                <w:rFonts w:ascii="宋体" w:hAnsi="宋体" w:eastAsia="宋体"/>
                <w:szCs w:val="21"/>
              </w:rPr>
              <w:t>-3</w:t>
            </w:r>
          </w:p>
        </w:tc>
        <w:tc>
          <w:tcPr>
            <w:tcW w:w="929" w:type="dxa"/>
            <w:vAlign w:val="center"/>
          </w:tcPr>
          <w:p w14:paraId="7D808FEF">
            <w:pPr>
              <w:widowControl/>
              <w:spacing w:before="156" w:beforeLines="50" w:after="156" w:afterLines="50"/>
              <w:jc w:val="center"/>
              <w:rPr>
                <w:rFonts w:ascii="宋体" w:hAnsi="宋体" w:eastAsia="宋体"/>
                <w:szCs w:val="21"/>
              </w:rPr>
            </w:pPr>
            <w:r>
              <w:rPr>
                <w:rFonts w:hint="eastAsia" w:ascii="宋体" w:hAnsi="宋体" w:eastAsia="宋体"/>
                <w:szCs w:val="21"/>
              </w:rPr>
              <w:t>2/14</w:t>
            </w:r>
          </w:p>
        </w:tc>
        <w:tc>
          <w:tcPr>
            <w:tcW w:w="1145" w:type="dxa"/>
            <w:vAlign w:val="center"/>
          </w:tcPr>
          <w:p w14:paraId="481EC2C1">
            <w:pPr>
              <w:widowControl/>
              <w:spacing w:before="156" w:beforeLines="50" w:after="156" w:afterLines="50"/>
              <w:jc w:val="center"/>
              <w:rPr>
                <w:rFonts w:ascii="宋体" w:hAnsi="宋体" w:eastAsia="宋体"/>
                <w:szCs w:val="21"/>
              </w:rPr>
            </w:pPr>
            <w:r>
              <w:rPr>
                <w:rFonts w:hint="eastAsia" w:ascii="宋体" w:hAnsi="宋体" w:eastAsia="宋体"/>
                <w:szCs w:val="21"/>
              </w:rPr>
              <w:t>第二章</w:t>
            </w:r>
          </w:p>
        </w:tc>
        <w:tc>
          <w:tcPr>
            <w:tcW w:w="1145" w:type="dxa"/>
            <w:vAlign w:val="center"/>
          </w:tcPr>
          <w:p w14:paraId="5F223490">
            <w:pPr>
              <w:widowControl/>
              <w:spacing w:before="156" w:beforeLines="50" w:after="156" w:afterLines="50"/>
              <w:jc w:val="center"/>
              <w:rPr>
                <w:rFonts w:ascii="宋体" w:hAnsi="宋体" w:eastAsia="宋体"/>
                <w:szCs w:val="21"/>
              </w:rPr>
            </w:pPr>
            <w:r>
              <w:rPr>
                <w:rFonts w:hint="eastAsia" w:ascii="宋体" w:hAnsi="宋体" w:eastAsia="宋体"/>
                <w:szCs w:val="21"/>
              </w:rPr>
              <w:t>康德的义务论</w:t>
            </w:r>
          </w:p>
        </w:tc>
        <w:tc>
          <w:tcPr>
            <w:tcW w:w="1145" w:type="dxa"/>
            <w:vAlign w:val="center"/>
          </w:tcPr>
          <w:p w14:paraId="3E4758F8">
            <w:pPr>
              <w:widowControl/>
              <w:spacing w:before="156" w:beforeLines="50" w:after="156" w:afterLines="50"/>
              <w:jc w:val="center"/>
              <w:rPr>
                <w:rFonts w:ascii="宋体" w:hAnsi="宋体" w:eastAsia="宋体"/>
                <w:szCs w:val="21"/>
              </w:rPr>
            </w:pPr>
            <w:r>
              <w:rPr>
                <w:rFonts w:hint="eastAsia" w:ascii="宋体" w:hAnsi="宋体" w:eastAsia="宋体"/>
                <w:szCs w:val="21"/>
              </w:rPr>
              <w:t>9</w:t>
            </w:r>
          </w:p>
        </w:tc>
        <w:tc>
          <w:tcPr>
            <w:tcW w:w="1386" w:type="dxa"/>
            <w:vAlign w:val="center"/>
          </w:tcPr>
          <w:p w14:paraId="522D0812">
            <w:pPr>
              <w:widowControl/>
              <w:spacing w:before="156" w:beforeLines="50" w:after="156" w:afterLines="50"/>
              <w:jc w:val="center"/>
              <w:rPr>
                <w:rFonts w:ascii="宋体" w:hAnsi="宋体" w:eastAsia="宋体"/>
                <w:szCs w:val="21"/>
              </w:rPr>
            </w:pPr>
            <w:r>
              <w:rPr>
                <w:rFonts w:hint="eastAsia" w:ascii="宋体" w:hAnsi="宋体" w:eastAsia="宋体"/>
                <w:szCs w:val="21"/>
              </w:rPr>
              <w:t>阅读笔记</w:t>
            </w:r>
          </w:p>
        </w:tc>
        <w:tc>
          <w:tcPr>
            <w:tcW w:w="904" w:type="dxa"/>
            <w:vAlign w:val="center"/>
          </w:tcPr>
          <w:p w14:paraId="249B7C8C">
            <w:pPr>
              <w:widowControl/>
              <w:spacing w:before="156" w:beforeLines="50" w:after="156" w:afterLines="50"/>
              <w:jc w:val="center"/>
              <w:rPr>
                <w:rFonts w:ascii="宋体" w:hAnsi="宋体" w:eastAsia="宋体"/>
                <w:szCs w:val="21"/>
              </w:rPr>
            </w:pPr>
          </w:p>
        </w:tc>
      </w:tr>
      <w:tr w14:paraId="77CA5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0628A01F">
            <w:pPr>
              <w:widowControl/>
              <w:spacing w:before="156" w:beforeLines="50" w:after="156" w:afterLines="50"/>
              <w:jc w:val="center"/>
              <w:rPr>
                <w:rFonts w:ascii="宋体" w:hAnsi="宋体" w:eastAsia="宋体"/>
                <w:szCs w:val="21"/>
              </w:rPr>
            </w:pPr>
            <w:r>
              <w:rPr>
                <w:rFonts w:hint="eastAsia" w:ascii="宋体" w:hAnsi="宋体" w:eastAsia="宋体"/>
                <w:szCs w:val="21"/>
              </w:rPr>
              <w:t>4</w:t>
            </w:r>
            <w:r>
              <w:rPr>
                <w:rFonts w:ascii="宋体" w:hAnsi="宋体" w:eastAsia="宋体"/>
                <w:szCs w:val="21"/>
              </w:rPr>
              <w:t>-7</w:t>
            </w:r>
          </w:p>
        </w:tc>
        <w:tc>
          <w:tcPr>
            <w:tcW w:w="929" w:type="dxa"/>
            <w:vAlign w:val="center"/>
          </w:tcPr>
          <w:p w14:paraId="5F936FBF">
            <w:pPr>
              <w:widowControl/>
              <w:spacing w:before="156" w:beforeLines="50" w:after="156" w:afterLines="50"/>
              <w:jc w:val="center"/>
              <w:rPr>
                <w:rFonts w:ascii="宋体" w:hAnsi="宋体" w:eastAsia="宋体"/>
                <w:szCs w:val="21"/>
              </w:rPr>
            </w:pPr>
            <w:r>
              <w:rPr>
                <w:rFonts w:hint="eastAsia" w:ascii="宋体" w:hAnsi="宋体" w:eastAsia="宋体"/>
                <w:szCs w:val="21"/>
              </w:rPr>
              <w:t>2/28</w:t>
            </w:r>
          </w:p>
        </w:tc>
        <w:tc>
          <w:tcPr>
            <w:tcW w:w="1145" w:type="dxa"/>
            <w:vAlign w:val="center"/>
          </w:tcPr>
          <w:p w14:paraId="3632CBDA">
            <w:pPr>
              <w:widowControl/>
              <w:spacing w:before="156" w:beforeLines="50" w:after="156" w:afterLines="50"/>
              <w:jc w:val="center"/>
              <w:rPr>
                <w:rFonts w:ascii="宋体" w:hAnsi="宋体" w:eastAsia="宋体"/>
                <w:szCs w:val="21"/>
              </w:rPr>
            </w:pPr>
            <w:r>
              <w:rPr>
                <w:rFonts w:hint="eastAsia" w:ascii="宋体" w:hAnsi="宋体" w:eastAsia="宋体"/>
                <w:szCs w:val="21"/>
              </w:rPr>
              <w:t>第三章</w:t>
            </w:r>
          </w:p>
        </w:tc>
        <w:tc>
          <w:tcPr>
            <w:tcW w:w="1145" w:type="dxa"/>
            <w:vAlign w:val="center"/>
          </w:tcPr>
          <w:p w14:paraId="55C33F63">
            <w:pPr>
              <w:widowControl/>
              <w:spacing w:before="156" w:beforeLines="50" w:after="156" w:afterLines="50"/>
              <w:jc w:val="center"/>
              <w:rPr>
                <w:rFonts w:ascii="宋体" w:hAnsi="宋体" w:eastAsia="宋体"/>
                <w:szCs w:val="21"/>
              </w:rPr>
            </w:pPr>
            <w:r>
              <w:rPr>
                <w:rFonts w:hint="eastAsia" w:ascii="宋体" w:hAnsi="宋体" w:eastAsia="宋体"/>
                <w:szCs w:val="21"/>
              </w:rPr>
              <w:t>价值与力量</w:t>
            </w:r>
          </w:p>
        </w:tc>
        <w:tc>
          <w:tcPr>
            <w:tcW w:w="1145" w:type="dxa"/>
            <w:vAlign w:val="center"/>
          </w:tcPr>
          <w:p w14:paraId="3E63A6F6">
            <w:pPr>
              <w:widowControl/>
              <w:spacing w:before="156" w:beforeLines="50" w:after="156" w:afterLines="50"/>
              <w:jc w:val="center"/>
              <w:rPr>
                <w:rFonts w:ascii="宋体" w:hAnsi="宋体" w:eastAsia="宋体"/>
                <w:szCs w:val="21"/>
              </w:rPr>
            </w:pPr>
            <w:r>
              <w:rPr>
                <w:rFonts w:hint="eastAsia" w:ascii="宋体" w:hAnsi="宋体" w:eastAsia="宋体"/>
                <w:szCs w:val="21"/>
              </w:rPr>
              <w:t>9</w:t>
            </w:r>
          </w:p>
        </w:tc>
        <w:tc>
          <w:tcPr>
            <w:tcW w:w="1386" w:type="dxa"/>
            <w:vAlign w:val="center"/>
          </w:tcPr>
          <w:p w14:paraId="1008F7B9">
            <w:pPr>
              <w:widowControl/>
              <w:spacing w:before="156" w:beforeLines="50" w:after="156" w:afterLines="50"/>
              <w:jc w:val="center"/>
              <w:rPr>
                <w:rFonts w:ascii="宋体" w:hAnsi="宋体" w:eastAsia="宋体"/>
                <w:szCs w:val="21"/>
              </w:rPr>
            </w:pPr>
            <w:r>
              <w:rPr>
                <w:rFonts w:hint="eastAsia" w:ascii="宋体" w:hAnsi="宋体" w:eastAsia="宋体"/>
                <w:szCs w:val="21"/>
              </w:rPr>
              <w:t>阅读笔记</w:t>
            </w:r>
          </w:p>
        </w:tc>
        <w:tc>
          <w:tcPr>
            <w:tcW w:w="904" w:type="dxa"/>
            <w:vAlign w:val="center"/>
          </w:tcPr>
          <w:p w14:paraId="43142B34">
            <w:pPr>
              <w:widowControl/>
              <w:spacing w:before="156" w:beforeLines="50" w:after="156" w:afterLines="50"/>
              <w:jc w:val="center"/>
              <w:rPr>
                <w:rFonts w:ascii="宋体" w:hAnsi="宋体" w:eastAsia="宋体"/>
                <w:szCs w:val="21"/>
              </w:rPr>
            </w:pPr>
          </w:p>
        </w:tc>
      </w:tr>
      <w:tr w14:paraId="5C37E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27725924">
            <w:pPr>
              <w:widowControl/>
              <w:spacing w:before="156" w:beforeLines="50" w:after="156" w:afterLines="50"/>
              <w:jc w:val="center"/>
              <w:rPr>
                <w:rFonts w:ascii="宋体" w:hAnsi="宋体" w:eastAsia="宋体"/>
                <w:szCs w:val="21"/>
              </w:rPr>
            </w:pPr>
          </w:p>
        </w:tc>
        <w:tc>
          <w:tcPr>
            <w:tcW w:w="929" w:type="dxa"/>
            <w:vAlign w:val="center"/>
          </w:tcPr>
          <w:p w14:paraId="68D2738C">
            <w:pPr>
              <w:widowControl/>
              <w:spacing w:before="156" w:beforeLines="50" w:after="156" w:afterLines="50"/>
              <w:jc w:val="center"/>
              <w:rPr>
                <w:rFonts w:ascii="宋体" w:hAnsi="宋体" w:eastAsia="宋体"/>
                <w:szCs w:val="21"/>
              </w:rPr>
            </w:pPr>
          </w:p>
        </w:tc>
        <w:tc>
          <w:tcPr>
            <w:tcW w:w="1145" w:type="dxa"/>
            <w:vAlign w:val="center"/>
          </w:tcPr>
          <w:p w14:paraId="6CA7A7E9">
            <w:pPr>
              <w:widowControl/>
              <w:spacing w:before="156" w:beforeLines="50" w:after="156" w:afterLines="50"/>
              <w:jc w:val="center"/>
              <w:rPr>
                <w:rFonts w:ascii="宋体" w:hAnsi="宋体" w:eastAsia="宋体"/>
                <w:szCs w:val="21"/>
              </w:rPr>
            </w:pPr>
            <w:r>
              <w:rPr>
                <w:rFonts w:hint="eastAsia" w:ascii="宋体" w:hAnsi="宋体" w:eastAsia="宋体"/>
                <w:szCs w:val="21"/>
              </w:rPr>
              <w:t>第四章</w:t>
            </w:r>
          </w:p>
        </w:tc>
        <w:tc>
          <w:tcPr>
            <w:tcW w:w="1145" w:type="dxa"/>
            <w:vAlign w:val="center"/>
          </w:tcPr>
          <w:p w14:paraId="76E17E9E">
            <w:pPr>
              <w:widowControl/>
              <w:spacing w:before="156" w:beforeLines="50" w:after="156" w:afterLines="50"/>
              <w:jc w:val="center"/>
              <w:rPr>
                <w:rFonts w:ascii="宋体" w:hAnsi="宋体" w:eastAsia="宋体"/>
                <w:szCs w:val="21"/>
              </w:rPr>
            </w:pPr>
            <w:r>
              <w:rPr>
                <w:rFonts w:hint="eastAsia" w:ascii="宋体" w:hAnsi="宋体" w:eastAsia="宋体"/>
                <w:szCs w:val="21"/>
              </w:rPr>
              <w:t>日常美学</w:t>
            </w:r>
          </w:p>
        </w:tc>
        <w:tc>
          <w:tcPr>
            <w:tcW w:w="1145" w:type="dxa"/>
            <w:vAlign w:val="center"/>
          </w:tcPr>
          <w:p w14:paraId="43C35FAB">
            <w:pPr>
              <w:widowControl/>
              <w:spacing w:before="156" w:beforeLines="50" w:after="156" w:afterLines="50"/>
              <w:jc w:val="center"/>
              <w:rPr>
                <w:rFonts w:ascii="宋体" w:hAnsi="宋体" w:eastAsia="宋体"/>
                <w:szCs w:val="21"/>
              </w:rPr>
            </w:pPr>
            <w:r>
              <w:rPr>
                <w:rFonts w:hint="eastAsia" w:ascii="宋体" w:hAnsi="宋体" w:eastAsia="宋体"/>
                <w:szCs w:val="21"/>
              </w:rPr>
              <w:t>9</w:t>
            </w:r>
          </w:p>
        </w:tc>
        <w:tc>
          <w:tcPr>
            <w:tcW w:w="1386" w:type="dxa"/>
            <w:vAlign w:val="center"/>
          </w:tcPr>
          <w:p w14:paraId="393A0F18">
            <w:pPr>
              <w:widowControl/>
              <w:spacing w:before="156" w:beforeLines="50" w:after="156" w:afterLines="50"/>
              <w:jc w:val="center"/>
              <w:rPr>
                <w:rFonts w:ascii="宋体" w:hAnsi="宋体" w:eastAsia="宋体"/>
                <w:szCs w:val="21"/>
              </w:rPr>
            </w:pPr>
            <w:r>
              <w:rPr>
                <w:rFonts w:hint="eastAsia" w:ascii="宋体" w:hAnsi="宋体" w:eastAsia="宋体"/>
                <w:szCs w:val="21"/>
              </w:rPr>
              <w:t>阅读笔记</w:t>
            </w:r>
          </w:p>
        </w:tc>
        <w:tc>
          <w:tcPr>
            <w:tcW w:w="904" w:type="dxa"/>
            <w:vAlign w:val="center"/>
          </w:tcPr>
          <w:p w14:paraId="0361DBBF">
            <w:pPr>
              <w:widowControl/>
              <w:spacing w:before="156" w:beforeLines="50" w:after="156" w:afterLines="50"/>
              <w:jc w:val="center"/>
              <w:rPr>
                <w:rFonts w:ascii="宋体" w:hAnsi="宋体" w:eastAsia="宋体"/>
                <w:szCs w:val="21"/>
              </w:rPr>
            </w:pPr>
          </w:p>
        </w:tc>
      </w:tr>
      <w:tr w14:paraId="7B23B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66D52D79">
            <w:pPr>
              <w:widowControl/>
              <w:spacing w:before="156" w:beforeLines="50" w:after="156" w:afterLines="50"/>
              <w:jc w:val="center"/>
              <w:rPr>
                <w:rFonts w:ascii="宋体" w:hAnsi="宋体" w:eastAsia="宋体"/>
                <w:szCs w:val="21"/>
              </w:rPr>
            </w:pPr>
          </w:p>
        </w:tc>
        <w:tc>
          <w:tcPr>
            <w:tcW w:w="929" w:type="dxa"/>
            <w:vAlign w:val="center"/>
          </w:tcPr>
          <w:p w14:paraId="1B3E64D5">
            <w:pPr>
              <w:widowControl/>
              <w:spacing w:before="156" w:beforeLines="50" w:after="156" w:afterLines="50"/>
              <w:jc w:val="center"/>
              <w:rPr>
                <w:rFonts w:ascii="宋体" w:hAnsi="宋体" w:eastAsia="宋体"/>
                <w:szCs w:val="21"/>
              </w:rPr>
            </w:pPr>
          </w:p>
        </w:tc>
        <w:tc>
          <w:tcPr>
            <w:tcW w:w="1145" w:type="dxa"/>
            <w:vAlign w:val="center"/>
          </w:tcPr>
          <w:p w14:paraId="43AF0C1B">
            <w:pPr>
              <w:widowControl/>
              <w:spacing w:before="156" w:beforeLines="50" w:after="156" w:afterLines="50"/>
              <w:jc w:val="center"/>
              <w:rPr>
                <w:rFonts w:ascii="宋体" w:hAnsi="宋体" w:eastAsia="宋体"/>
                <w:szCs w:val="21"/>
              </w:rPr>
            </w:pPr>
            <w:r>
              <w:rPr>
                <w:rFonts w:hint="eastAsia" w:ascii="宋体" w:hAnsi="宋体" w:eastAsia="宋体"/>
                <w:szCs w:val="21"/>
              </w:rPr>
              <w:t>第五章</w:t>
            </w:r>
          </w:p>
        </w:tc>
        <w:tc>
          <w:tcPr>
            <w:tcW w:w="1145" w:type="dxa"/>
            <w:vAlign w:val="center"/>
          </w:tcPr>
          <w:p w14:paraId="2D7041A6">
            <w:pPr>
              <w:widowControl/>
              <w:spacing w:before="156" w:beforeLines="50" w:after="156" w:afterLines="50"/>
              <w:jc w:val="center"/>
              <w:rPr>
                <w:rFonts w:ascii="宋体" w:hAnsi="宋体" w:eastAsia="宋体"/>
                <w:szCs w:val="21"/>
              </w:rPr>
            </w:pPr>
            <w:r>
              <w:rPr>
                <w:rFonts w:hint="eastAsia" w:ascii="宋体" w:hAnsi="宋体" w:eastAsia="宋体"/>
                <w:szCs w:val="21"/>
              </w:rPr>
              <w:t>庄子的美学</w:t>
            </w:r>
          </w:p>
        </w:tc>
        <w:tc>
          <w:tcPr>
            <w:tcW w:w="1145" w:type="dxa"/>
            <w:vAlign w:val="center"/>
          </w:tcPr>
          <w:p w14:paraId="46934EFA">
            <w:pPr>
              <w:widowControl/>
              <w:spacing w:before="156" w:beforeLines="50" w:after="156" w:afterLines="50"/>
              <w:jc w:val="center"/>
              <w:rPr>
                <w:rFonts w:ascii="宋体" w:hAnsi="宋体" w:eastAsia="宋体"/>
                <w:szCs w:val="21"/>
              </w:rPr>
            </w:pPr>
            <w:r>
              <w:rPr>
                <w:rFonts w:hint="eastAsia" w:ascii="宋体" w:hAnsi="宋体" w:eastAsia="宋体"/>
                <w:szCs w:val="21"/>
              </w:rPr>
              <w:t>9</w:t>
            </w:r>
          </w:p>
        </w:tc>
        <w:tc>
          <w:tcPr>
            <w:tcW w:w="1386" w:type="dxa"/>
            <w:vAlign w:val="center"/>
          </w:tcPr>
          <w:p w14:paraId="1C49A636">
            <w:pPr>
              <w:widowControl/>
              <w:spacing w:before="156" w:beforeLines="50" w:after="156" w:afterLines="50"/>
              <w:jc w:val="center"/>
              <w:rPr>
                <w:rFonts w:ascii="宋体" w:hAnsi="宋体" w:eastAsia="宋体"/>
                <w:szCs w:val="21"/>
              </w:rPr>
            </w:pPr>
            <w:r>
              <w:rPr>
                <w:rFonts w:hint="eastAsia" w:ascii="宋体" w:hAnsi="宋体" w:eastAsia="宋体"/>
                <w:szCs w:val="21"/>
              </w:rPr>
              <w:t>阅读笔记</w:t>
            </w:r>
          </w:p>
        </w:tc>
        <w:tc>
          <w:tcPr>
            <w:tcW w:w="904" w:type="dxa"/>
            <w:vAlign w:val="center"/>
          </w:tcPr>
          <w:p w14:paraId="507A33D7">
            <w:pPr>
              <w:widowControl/>
              <w:spacing w:before="156" w:beforeLines="50" w:after="156" w:afterLines="50"/>
              <w:jc w:val="center"/>
              <w:rPr>
                <w:rFonts w:ascii="宋体" w:hAnsi="宋体" w:eastAsia="宋体"/>
                <w:szCs w:val="21"/>
              </w:rPr>
            </w:pPr>
          </w:p>
        </w:tc>
      </w:tr>
      <w:tr w14:paraId="51F4D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2352A3B0">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7</w:t>
            </w:r>
          </w:p>
          <w:p w14:paraId="345E519B">
            <w:pPr>
              <w:widowControl/>
              <w:spacing w:before="156" w:beforeLines="50" w:after="156" w:afterLines="50"/>
              <w:jc w:val="center"/>
              <w:rPr>
                <w:rFonts w:ascii="宋体" w:hAnsi="宋体" w:eastAsia="宋体"/>
                <w:szCs w:val="21"/>
              </w:rPr>
            </w:pPr>
            <w:r>
              <w:rPr>
                <w:rFonts w:hint="eastAsia" w:ascii="宋体" w:hAnsi="宋体" w:eastAsia="宋体"/>
                <w:szCs w:val="21"/>
              </w:rPr>
              <w:t>（五号宋体）</w:t>
            </w:r>
          </w:p>
        </w:tc>
        <w:tc>
          <w:tcPr>
            <w:tcW w:w="929" w:type="dxa"/>
            <w:vAlign w:val="center"/>
          </w:tcPr>
          <w:p w14:paraId="216D89C4">
            <w:pPr>
              <w:widowControl/>
              <w:spacing w:before="156" w:beforeLines="50" w:after="156" w:afterLines="50"/>
              <w:jc w:val="center"/>
              <w:rPr>
                <w:rFonts w:ascii="宋体" w:hAnsi="宋体" w:eastAsia="宋体"/>
                <w:szCs w:val="21"/>
              </w:rPr>
            </w:pPr>
            <w:r>
              <w:rPr>
                <w:rFonts w:hint="eastAsia" w:ascii="宋体" w:hAnsi="宋体" w:eastAsia="宋体"/>
                <w:szCs w:val="21"/>
              </w:rPr>
              <w:t>6/15</w:t>
            </w:r>
          </w:p>
        </w:tc>
        <w:tc>
          <w:tcPr>
            <w:tcW w:w="1145" w:type="dxa"/>
            <w:vAlign w:val="center"/>
          </w:tcPr>
          <w:p w14:paraId="024AF19C">
            <w:pPr>
              <w:widowControl/>
              <w:spacing w:before="156" w:beforeLines="50" w:after="156" w:afterLines="50"/>
              <w:jc w:val="center"/>
              <w:rPr>
                <w:rFonts w:ascii="宋体" w:hAnsi="宋体" w:eastAsia="宋体"/>
                <w:szCs w:val="21"/>
              </w:rPr>
            </w:pPr>
            <w:r>
              <w:rPr>
                <w:rFonts w:hint="eastAsia" w:ascii="宋体" w:hAnsi="宋体" w:eastAsia="宋体"/>
                <w:szCs w:val="21"/>
              </w:rPr>
              <w:t>第六章</w:t>
            </w:r>
          </w:p>
        </w:tc>
        <w:tc>
          <w:tcPr>
            <w:tcW w:w="1145" w:type="dxa"/>
            <w:vAlign w:val="center"/>
          </w:tcPr>
          <w:p w14:paraId="10239324">
            <w:pPr>
              <w:widowControl/>
              <w:spacing w:before="156" w:beforeLines="50" w:after="156" w:afterLines="50"/>
              <w:jc w:val="center"/>
              <w:rPr>
                <w:rFonts w:ascii="宋体" w:hAnsi="宋体" w:eastAsia="宋体"/>
                <w:szCs w:val="21"/>
              </w:rPr>
            </w:pPr>
            <w:r>
              <w:rPr>
                <w:rFonts w:hint="eastAsia" w:ascii="宋体" w:hAnsi="宋体" w:eastAsia="宋体"/>
                <w:szCs w:val="21"/>
              </w:rPr>
              <w:t>自然美学与立法</w:t>
            </w:r>
          </w:p>
        </w:tc>
        <w:tc>
          <w:tcPr>
            <w:tcW w:w="1145" w:type="dxa"/>
            <w:vAlign w:val="center"/>
          </w:tcPr>
          <w:p w14:paraId="3FD078AA">
            <w:pPr>
              <w:widowControl/>
              <w:spacing w:before="156" w:beforeLines="50" w:after="156" w:afterLines="50"/>
              <w:jc w:val="center"/>
              <w:rPr>
                <w:rFonts w:ascii="宋体" w:hAnsi="宋体" w:eastAsia="宋体"/>
                <w:szCs w:val="21"/>
              </w:rPr>
            </w:pPr>
            <w:r>
              <w:rPr>
                <w:rFonts w:hint="eastAsia" w:ascii="宋体" w:hAnsi="宋体" w:eastAsia="宋体"/>
                <w:szCs w:val="21"/>
              </w:rPr>
              <w:t>6</w:t>
            </w:r>
          </w:p>
        </w:tc>
        <w:tc>
          <w:tcPr>
            <w:tcW w:w="1386" w:type="dxa"/>
            <w:vAlign w:val="center"/>
          </w:tcPr>
          <w:p w14:paraId="3BB1DF29">
            <w:pPr>
              <w:widowControl/>
              <w:spacing w:before="156" w:beforeLines="50" w:after="156" w:afterLines="50"/>
              <w:jc w:val="center"/>
              <w:rPr>
                <w:rFonts w:ascii="宋体" w:hAnsi="宋体" w:eastAsia="宋体"/>
                <w:szCs w:val="21"/>
              </w:rPr>
            </w:pPr>
            <w:r>
              <w:rPr>
                <w:rFonts w:hint="eastAsia" w:ascii="宋体" w:hAnsi="宋体" w:eastAsia="宋体"/>
                <w:szCs w:val="21"/>
              </w:rPr>
              <w:t>阅读笔记</w:t>
            </w:r>
          </w:p>
        </w:tc>
        <w:tc>
          <w:tcPr>
            <w:tcW w:w="904" w:type="dxa"/>
            <w:vAlign w:val="center"/>
          </w:tcPr>
          <w:p w14:paraId="31CAF3B9">
            <w:pPr>
              <w:widowControl/>
              <w:spacing w:before="156" w:beforeLines="50" w:after="156" w:afterLines="50"/>
              <w:jc w:val="center"/>
              <w:rPr>
                <w:rFonts w:ascii="宋体" w:hAnsi="宋体" w:eastAsia="宋体"/>
                <w:szCs w:val="21"/>
              </w:rPr>
            </w:pPr>
          </w:p>
        </w:tc>
      </w:tr>
    </w:tbl>
    <w:p w14:paraId="38555BEE">
      <w:pPr>
        <w:widowControl/>
        <w:spacing w:before="156" w:beforeLines="50" w:after="156" w:afterLines="50"/>
        <w:ind w:firstLine="562" w:firstLineChars="200"/>
        <w:jc w:val="left"/>
      </w:pPr>
      <w:r>
        <w:rPr>
          <w:rFonts w:hint="eastAsia" w:ascii="黑体" w:hAnsi="黑体" w:eastAsia="黑体"/>
          <w:b/>
          <w:sz w:val="28"/>
          <w:szCs w:val="28"/>
        </w:rPr>
        <w:t>六、教材及参考书目</w:t>
      </w:r>
    </w:p>
    <w:p w14:paraId="470BEF35">
      <w:pPr>
        <w:pStyle w:val="13"/>
        <w:numPr>
          <w:ilvl w:val="0"/>
          <w:numId w:val="1"/>
        </w:numPr>
        <w:ind w:firstLineChars="0"/>
        <w:rPr>
          <w:rFonts w:ascii="Times New Roman" w:hAnsi="Times New Roman" w:eastAsia="宋体" w:cs="Times New Roman"/>
        </w:rPr>
      </w:pPr>
      <w:r>
        <w:rPr>
          <w:rFonts w:ascii="Times New Roman" w:hAnsi="Times New Roman" w:eastAsia="宋体" w:cs="Times New Roman"/>
        </w:rPr>
        <w:t xml:space="preserve">Aristotle 2009. </w:t>
      </w:r>
      <w:r>
        <w:rPr>
          <w:rFonts w:ascii="Times New Roman" w:hAnsi="Times New Roman" w:eastAsia="宋体" w:cs="Times New Roman"/>
          <w:i/>
          <w:iCs/>
        </w:rPr>
        <w:t>The Nicomachean Ethics</w:t>
      </w:r>
      <w:r>
        <w:rPr>
          <w:rFonts w:ascii="Times New Roman" w:hAnsi="Times New Roman" w:eastAsia="宋体" w:cs="Times New Roman"/>
        </w:rPr>
        <w:t>. 《尼各马可伦理学》 Translated By David Ross. Oxford University Press.</w:t>
      </w:r>
    </w:p>
    <w:p w14:paraId="2FE4ABBB">
      <w:pPr>
        <w:pStyle w:val="13"/>
        <w:numPr>
          <w:ilvl w:val="0"/>
          <w:numId w:val="1"/>
        </w:numPr>
        <w:ind w:firstLineChars="0"/>
        <w:rPr>
          <w:rFonts w:ascii="Times New Roman" w:hAnsi="Times New Roman" w:eastAsia="宋体" w:cs="Times New Roman"/>
        </w:rPr>
      </w:pPr>
      <w:r>
        <w:rPr>
          <w:rFonts w:ascii="Times New Roman" w:hAnsi="Times New Roman" w:eastAsia="宋体" w:cs="Times New Roman"/>
        </w:rPr>
        <w:t xml:space="preserve">Immanuel Kant 1991. The </w:t>
      </w:r>
      <w:r>
        <w:rPr>
          <w:rFonts w:ascii="Times New Roman" w:hAnsi="Times New Roman" w:eastAsia="宋体" w:cs="Times New Roman"/>
          <w:i/>
          <w:iCs/>
        </w:rPr>
        <w:t>Metaphysics of Morals</w:t>
      </w:r>
      <w:r>
        <w:rPr>
          <w:rFonts w:ascii="Times New Roman" w:hAnsi="Times New Roman" w:eastAsia="宋体" w:cs="Times New Roman"/>
        </w:rPr>
        <w:t>《道德的形而上学》 Cambridge University Press.</w:t>
      </w:r>
    </w:p>
    <w:p w14:paraId="729CF8DA">
      <w:pPr>
        <w:pStyle w:val="13"/>
        <w:numPr>
          <w:ilvl w:val="0"/>
          <w:numId w:val="1"/>
        </w:numPr>
        <w:ind w:firstLineChars="0"/>
        <w:rPr>
          <w:rFonts w:ascii="Times New Roman" w:hAnsi="Times New Roman" w:eastAsia="宋体" w:cs="Times New Roman"/>
        </w:rPr>
      </w:pPr>
      <w:r>
        <w:rPr>
          <w:rFonts w:ascii="Times New Roman" w:hAnsi="Times New Roman" w:eastAsia="宋体" w:cs="Times New Roman"/>
        </w:rPr>
        <w:t>Krzysztof Piotr Skowronski 2009.</w:t>
      </w:r>
      <w:r>
        <w:rPr>
          <w:rFonts w:ascii="Times New Roman" w:hAnsi="Times New Roman" w:eastAsia="宋体" w:cs="Times New Roman"/>
          <w:i/>
          <w:iCs/>
        </w:rPr>
        <w:t xml:space="preserve"> Values and Powers </w:t>
      </w:r>
      <w:r>
        <w:rPr>
          <w:rFonts w:ascii="Times New Roman" w:hAnsi="Times New Roman" w:eastAsia="宋体" w:cs="Times New Roman"/>
        </w:rPr>
        <w:t>《价值与力量》,Amsterdam-New York.</w:t>
      </w:r>
    </w:p>
    <w:p w14:paraId="0B03ADD2">
      <w:pPr>
        <w:pStyle w:val="14"/>
        <w:numPr>
          <w:ilvl w:val="0"/>
          <w:numId w:val="1"/>
        </w:numPr>
        <w:rPr>
          <w:rFonts w:ascii="Times New Roman" w:hAnsi="Times New Roman" w:eastAsia="宋体" w:cs="Times New Roman"/>
        </w:rPr>
      </w:pPr>
      <w:r>
        <w:rPr>
          <w:rFonts w:ascii="Times New Roman" w:hAnsi="Times New Roman" w:eastAsia="宋体" w:cs="Times New Roman"/>
        </w:rPr>
        <w:t>Kim-Chong Chong, Zhuang Zi and the Issue of Human Nature, 《庄子与人性的问题》Dao (2023)22:237-254</w:t>
      </w:r>
    </w:p>
    <w:p w14:paraId="2730170D">
      <w:pPr>
        <w:pStyle w:val="13"/>
        <w:numPr>
          <w:ilvl w:val="0"/>
          <w:numId w:val="1"/>
        </w:numPr>
        <w:ind w:firstLineChars="0"/>
        <w:rPr>
          <w:rFonts w:ascii="Times New Roman" w:hAnsi="Times New Roman" w:eastAsia="宋体" w:cs="Times New Roman"/>
        </w:rPr>
      </w:pPr>
      <w:r>
        <w:rPr>
          <w:rFonts w:ascii="Times New Roman" w:hAnsi="Times New Roman" w:eastAsia="宋体" w:cs="Times New Roman"/>
        </w:rPr>
        <w:t xml:space="preserve">Zheng Kai 2021. The Metaphysics of Philosophical Daoism.《道家的形而上学》  Routledge.  </w:t>
      </w:r>
    </w:p>
    <w:p w14:paraId="7AF10551">
      <w:pPr>
        <w:pStyle w:val="13"/>
        <w:numPr>
          <w:ilvl w:val="0"/>
          <w:numId w:val="1"/>
        </w:numPr>
        <w:ind w:firstLineChars="0"/>
        <w:rPr>
          <w:rFonts w:ascii="Times New Roman" w:hAnsi="Times New Roman" w:eastAsia="宋体" w:cs="Times New Roman"/>
        </w:rPr>
      </w:pPr>
      <w:r>
        <w:rPr>
          <w:rFonts w:ascii="Times New Roman" w:hAnsi="Times New Roman" w:eastAsia="宋体" w:cs="Times New Roman"/>
        </w:rPr>
        <w:t xml:space="preserve">Jennifer A. Frey and Candace Volger 2018. </w:t>
      </w:r>
      <w:r>
        <w:rPr>
          <w:rFonts w:ascii="Times New Roman" w:hAnsi="Times New Roman" w:eastAsia="宋体" w:cs="Times New Roman"/>
          <w:i/>
          <w:iCs/>
        </w:rPr>
        <w:t>Self-Transcendence and Virtue</w:t>
      </w:r>
      <w:r>
        <w:rPr>
          <w:rFonts w:ascii="Times New Roman" w:hAnsi="Times New Roman" w:eastAsia="宋体" w:cs="Times New Roman"/>
        </w:rPr>
        <w:t>《自我超越与美德》</w:t>
      </w:r>
      <w:r>
        <w:rPr>
          <w:rFonts w:ascii="Times New Roman" w:hAnsi="Times New Roman" w:eastAsia="宋体" w:cs="Times New Roman"/>
          <w:i/>
          <w:iCs/>
        </w:rPr>
        <w:t>,</w:t>
      </w:r>
      <w:r>
        <w:rPr>
          <w:rFonts w:ascii="Times New Roman" w:hAnsi="Times New Roman" w:eastAsia="宋体" w:cs="Times New Roman"/>
        </w:rPr>
        <w:t xml:space="preserve"> Routledge Studies in Ethics and Moral Theory. Routledge. </w:t>
      </w:r>
    </w:p>
    <w:p w14:paraId="0B65EC17">
      <w:pPr>
        <w:pStyle w:val="13"/>
        <w:numPr>
          <w:ilvl w:val="0"/>
          <w:numId w:val="1"/>
        </w:numPr>
        <w:ind w:firstLineChars="0"/>
        <w:rPr>
          <w:rFonts w:ascii="Times New Roman" w:hAnsi="Times New Roman" w:eastAsia="宋体" w:cs="Times New Roman"/>
        </w:rPr>
      </w:pPr>
      <w:r>
        <w:rPr>
          <w:rFonts w:ascii="Times New Roman" w:hAnsi="Times New Roman" w:eastAsia="宋体" w:cs="Times New Roman"/>
        </w:rPr>
        <w:t xml:space="preserve">Andrew Light and Jonathan M. Smith 2005. </w:t>
      </w:r>
      <w:r>
        <w:rPr>
          <w:rFonts w:ascii="Times New Roman" w:hAnsi="Times New Roman" w:eastAsia="宋体" w:cs="Times New Roman"/>
          <w:i/>
          <w:iCs/>
        </w:rPr>
        <w:t>The Aesthetics of Everyday Life</w:t>
      </w:r>
      <w:r>
        <w:rPr>
          <w:rFonts w:ascii="Times New Roman" w:hAnsi="Times New Roman" w:eastAsia="宋体" w:cs="Times New Roman"/>
        </w:rPr>
        <w:t>《日常生活美学》. Columbia University Press, New York.</w:t>
      </w:r>
    </w:p>
    <w:p w14:paraId="601EE4FA">
      <w:pPr>
        <w:pStyle w:val="13"/>
        <w:numPr>
          <w:ilvl w:val="0"/>
          <w:numId w:val="1"/>
        </w:numPr>
        <w:ind w:firstLineChars="0"/>
        <w:rPr>
          <w:rFonts w:ascii="Times New Roman" w:hAnsi="Times New Roman" w:eastAsia="宋体" w:cs="Times New Roman"/>
        </w:rPr>
      </w:pPr>
      <w:r>
        <w:rPr>
          <w:rFonts w:ascii="Times New Roman" w:hAnsi="Times New Roman" w:eastAsia="宋体" w:cs="Times New Roman"/>
        </w:rPr>
        <w:t xml:space="preserve">John O’Neill, Allan Holland and Andrew Light 2008. </w:t>
      </w:r>
      <w:r>
        <w:rPr>
          <w:rFonts w:ascii="Times New Roman" w:hAnsi="Times New Roman" w:eastAsia="宋体" w:cs="Times New Roman"/>
          <w:i/>
          <w:iCs/>
        </w:rPr>
        <w:t>Environmental Values</w:t>
      </w:r>
      <w:r>
        <w:rPr>
          <w:rFonts w:ascii="Times New Roman" w:hAnsi="Times New Roman" w:eastAsia="宋体" w:cs="Times New Roman"/>
        </w:rPr>
        <w:t>《环境价值》 Routledge.</w:t>
      </w:r>
    </w:p>
    <w:p w14:paraId="1C43349F">
      <w:pPr>
        <w:pStyle w:val="13"/>
        <w:numPr>
          <w:ilvl w:val="0"/>
          <w:numId w:val="1"/>
        </w:numPr>
        <w:ind w:firstLineChars="0"/>
        <w:rPr>
          <w:rFonts w:ascii="Times New Roman" w:hAnsi="Times New Roman" w:eastAsia="宋体" w:cs="Times New Roman"/>
        </w:rPr>
      </w:pPr>
      <w:r>
        <w:rPr>
          <w:rFonts w:ascii="Times New Roman" w:hAnsi="Times New Roman" w:eastAsia="宋体" w:cs="Times New Roman"/>
        </w:rPr>
        <w:t>Peng Feng 2020. Beauty in the Zhuang Zi, Contemporary Theories of Beauty. 《庄子的美与当代美学理论》The Journal of Aesthetic Education, Vol. 54. No. 2. pp. 21-38.</w:t>
      </w:r>
    </w:p>
    <w:p w14:paraId="59467D85">
      <w:pPr>
        <w:pStyle w:val="13"/>
        <w:numPr>
          <w:ilvl w:val="0"/>
          <w:numId w:val="1"/>
        </w:numPr>
        <w:ind w:firstLineChars="0"/>
        <w:rPr>
          <w:rFonts w:ascii="Times New Roman" w:hAnsi="Times New Roman" w:eastAsia="宋体" w:cs="Times New Roman"/>
        </w:rPr>
      </w:pPr>
      <w:r>
        <w:rPr>
          <w:rFonts w:ascii="Times New Roman" w:hAnsi="Times New Roman" w:eastAsia="宋体" w:cs="Times New Roman"/>
        </w:rPr>
        <w:t>Paul Selman and Cary Swanwick, “On the Meaning of Natural Beauty in Landscape Legislation. 《景观立法中的自然美学》</w:t>
      </w:r>
    </w:p>
    <w:p w14:paraId="489296B9">
      <w:pPr>
        <w:widowControl/>
        <w:spacing w:before="156" w:beforeLines="50" w:after="156" w:afterLines="50"/>
        <w:jc w:val="left"/>
        <w:rPr>
          <w:rFonts w:ascii="宋体" w:hAnsi="宋体" w:eastAsia="宋体"/>
        </w:rPr>
      </w:pPr>
      <w:r>
        <w:rPr>
          <w:rFonts w:hint="eastAsia" w:ascii="宋体" w:hAnsi="宋体" w:eastAsia="宋体"/>
        </w:rPr>
        <w:t xml:space="preserve"> </w:t>
      </w:r>
      <w:r>
        <w:rPr>
          <w:rFonts w:ascii="宋体" w:hAnsi="宋体" w:eastAsia="宋体"/>
        </w:rPr>
        <w:t xml:space="preserve">   </w:t>
      </w:r>
    </w:p>
    <w:p w14:paraId="3AAD0535">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 xml:space="preserve">七、教学方法 </w:t>
      </w:r>
    </w:p>
    <w:p w14:paraId="11CB7093">
      <w:pPr>
        <w:widowControl/>
        <w:spacing w:before="156" w:beforeLines="50" w:after="156" w:afterLines="50"/>
        <w:ind w:firstLine="420" w:firstLineChars="200"/>
        <w:jc w:val="left"/>
        <w:rPr>
          <w:rFonts w:ascii="宋体" w:hAnsi="宋体" w:eastAsia="宋体"/>
        </w:rPr>
      </w:pPr>
      <w:r>
        <w:rPr>
          <w:rFonts w:hint="eastAsia" w:ascii="宋体" w:hAnsi="宋体" w:eastAsia="宋体"/>
        </w:rPr>
        <w:t>1．讲授法 主要讲授哲学经典与最新学术文献</w:t>
      </w:r>
    </w:p>
    <w:p w14:paraId="44AA70CC">
      <w:pPr>
        <w:widowControl/>
        <w:spacing w:before="156" w:beforeLines="50" w:after="156" w:afterLines="50"/>
        <w:ind w:firstLine="420" w:firstLineChars="200"/>
        <w:jc w:val="left"/>
        <w:rPr>
          <w:rFonts w:ascii="宋体" w:hAnsi="宋体" w:eastAsia="宋体"/>
        </w:rPr>
      </w:pPr>
      <w:r>
        <w:rPr>
          <w:rFonts w:hint="eastAsia" w:ascii="宋体" w:hAnsi="宋体" w:eastAsia="宋体"/>
        </w:rPr>
        <w:t>2．小组讨论法 对每本哲学经典的主要哲学论证有个把握</w:t>
      </w:r>
    </w:p>
    <w:p w14:paraId="1A116591">
      <w:pPr>
        <w:widowControl/>
        <w:spacing w:before="156" w:beforeLines="50" w:after="156" w:afterLines="50"/>
        <w:ind w:firstLine="420" w:firstLineChars="200"/>
        <w:jc w:val="left"/>
        <w:rPr>
          <w:rFonts w:ascii="宋体" w:hAnsi="宋体" w:eastAsia="宋体"/>
        </w:rPr>
      </w:pPr>
      <w:r>
        <w:rPr>
          <w:rFonts w:hint="eastAsia" w:ascii="宋体" w:hAnsi="宋体" w:eastAsia="宋体"/>
        </w:rPr>
        <w:t>3．实地体验与考察法  在讲到自然美学时，带学生直接到户外体验后再讲解。</w:t>
      </w:r>
    </w:p>
    <w:p w14:paraId="59B62131">
      <w:pPr>
        <w:widowControl/>
        <w:spacing w:before="156" w:beforeLines="50" w:after="156" w:afterLines="50"/>
        <w:jc w:val="left"/>
        <w:rPr>
          <w:rFonts w:ascii="黑体" w:hAnsi="黑体" w:eastAsia="黑体"/>
          <w:b/>
          <w:sz w:val="28"/>
          <w:szCs w:val="28"/>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八、考核方式及评定方法</w:t>
      </w:r>
    </w:p>
    <w:p w14:paraId="3B2441E6">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（一）课程考核与课程目标的对应关系 </w:t>
      </w:r>
    </w:p>
    <w:p w14:paraId="7900DA03">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p>
    <w:tbl>
      <w:tblPr>
        <w:tblStyle w:val="6"/>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14:paraId="12C99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30B88D8B">
            <w:pPr>
              <w:pStyle w:val="2"/>
              <w:spacing w:before="156" w:beforeLines="50" w:after="156" w:afterLines="50"/>
              <w:jc w:val="center"/>
              <w:rPr>
                <w:rFonts w:hAnsi="宋体"/>
                <w:b/>
              </w:rPr>
            </w:pPr>
            <w:r>
              <w:rPr>
                <w:rFonts w:hint="eastAsia" w:hAnsi="宋体"/>
                <w:b/>
              </w:rPr>
              <w:t>课程目标</w:t>
            </w:r>
          </w:p>
        </w:tc>
        <w:tc>
          <w:tcPr>
            <w:tcW w:w="2849" w:type="dxa"/>
            <w:vAlign w:val="center"/>
          </w:tcPr>
          <w:p w14:paraId="331AC911">
            <w:pPr>
              <w:pStyle w:val="2"/>
              <w:spacing w:before="156" w:beforeLines="50" w:after="156" w:afterLines="50"/>
              <w:jc w:val="center"/>
              <w:rPr>
                <w:rFonts w:hAnsi="宋体"/>
                <w:b/>
              </w:rPr>
            </w:pPr>
            <w:r>
              <w:rPr>
                <w:rFonts w:hint="eastAsia" w:hAnsi="宋体"/>
                <w:b/>
              </w:rPr>
              <w:t>考核要点</w:t>
            </w:r>
          </w:p>
        </w:tc>
        <w:tc>
          <w:tcPr>
            <w:tcW w:w="2849" w:type="dxa"/>
            <w:vAlign w:val="center"/>
          </w:tcPr>
          <w:p w14:paraId="25A0542A">
            <w:pPr>
              <w:pStyle w:val="2"/>
              <w:spacing w:before="156" w:beforeLines="50" w:after="156" w:afterLines="50"/>
              <w:jc w:val="center"/>
              <w:rPr>
                <w:rFonts w:hAnsi="宋体"/>
                <w:b/>
              </w:rPr>
            </w:pPr>
            <w:r>
              <w:rPr>
                <w:rFonts w:hint="eastAsia" w:hAnsi="宋体"/>
                <w:b/>
              </w:rPr>
              <w:t>考核方式</w:t>
            </w:r>
          </w:p>
        </w:tc>
      </w:tr>
      <w:tr w14:paraId="00584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59E25E5C">
            <w:pPr>
              <w:pStyle w:val="2"/>
              <w:spacing w:before="156" w:beforeLines="50" w:after="156" w:afterLines="50"/>
              <w:jc w:val="center"/>
              <w:rPr>
                <w:rFonts w:hAnsi="宋体"/>
              </w:rPr>
            </w:pPr>
            <w:r>
              <w:rPr>
                <w:rFonts w:hint="eastAsia" w:hAnsi="宋体"/>
              </w:rPr>
              <w:t>课程目标1</w:t>
            </w:r>
          </w:p>
        </w:tc>
        <w:tc>
          <w:tcPr>
            <w:tcW w:w="2849" w:type="dxa"/>
            <w:vAlign w:val="center"/>
          </w:tcPr>
          <w:p w14:paraId="5C4AE4D5">
            <w:pPr>
              <w:pStyle w:val="2"/>
              <w:spacing w:before="156" w:beforeLines="50" w:after="156" w:afterLines="50"/>
              <w:jc w:val="center"/>
              <w:rPr>
                <w:rFonts w:hAnsi="宋体"/>
                <w:b/>
              </w:rPr>
            </w:pPr>
            <w:r>
              <w:rPr>
                <w:rFonts w:hint="eastAsia" w:hAnsi="宋体"/>
                <w:b/>
              </w:rPr>
              <w:t>掌握西方哲学核心的范畴</w:t>
            </w:r>
          </w:p>
        </w:tc>
        <w:tc>
          <w:tcPr>
            <w:tcW w:w="2849" w:type="dxa"/>
            <w:vAlign w:val="center"/>
          </w:tcPr>
          <w:p w14:paraId="4039B16C">
            <w:pPr>
              <w:pStyle w:val="2"/>
              <w:spacing w:before="156" w:beforeLines="50" w:after="156" w:afterLines="50"/>
              <w:jc w:val="center"/>
              <w:rPr>
                <w:rFonts w:hAnsi="宋体"/>
                <w:b/>
              </w:rPr>
            </w:pPr>
            <w:r>
              <w:rPr>
                <w:rFonts w:hint="eastAsia" w:hAnsi="宋体"/>
                <w:b/>
              </w:rPr>
              <w:t>笔试</w:t>
            </w:r>
          </w:p>
        </w:tc>
      </w:tr>
      <w:tr w14:paraId="56723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54CBCC87">
            <w:pPr>
              <w:pStyle w:val="2"/>
              <w:spacing w:before="156" w:beforeLines="50" w:after="156" w:afterLines="50"/>
              <w:jc w:val="center"/>
              <w:rPr>
                <w:rFonts w:hAnsi="宋体"/>
              </w:rPr>
            </w:pPr>
            <w:r>
              <w:rPr>
                <w:rFonts w:hint="eastAsia" w:hAnsi="宋体"/>
              </w:rPr>
              <w:t>课程目标2</w:t>
            </w:r>
          </w:p>
        </w:tc>
        <w:tc>
          <w:tcPr>
            <w:tcW w:w="2849" w:type="dxa"/>
            <w:vAlign w:val="center"/>
          </w:tcPr>
          <w:p w14:paraId="29722B31">
            <w:pPr>
              <w:pStyle w:val="2"/>
              <w:spacing w:before="156" w:beforeLines="50" w:after="156" w:afterLines="50"/>
              <w:jc w:val="center"/>
              <w:rPr>
                <w:rFonts w:hAnsi="宋体"/>
                <w:b/>
              </w:rPr>
            </w:pPr>
            <w:r>
              <w:rPr>
                <w:rFonts w:hint="eastAsia" w:hAnsi="宋体"/>
                <w:b/>
              </w:rPr>
              <w:t>掌握中国哲学核心范畴</w:t>
            </w:r>
          </w:p>
        </w:tc>
        <w:tc>
          <w:tcPr>
            <w:tcW w:w="2849" w:type="dxa"/>
            <w:vAlign w:val="center"/>
          </w:tcPr>
          <w:p w14:paraId="1BEFB7FE">
            <w:pPr>
              <w:pStyle w:val="2"/>
              <w:spacing w:before="156" w:beforeLines="50" w:after="156" w:afterLines="50"/>
              <w:rPr>
                <w:rFonts w:hAnsi="宋体"/>
                <w:b/>
              </w:rPr>
            </w:pPr>
            <w:r>
              <w:rPr>
                <w:rFonts w:hint="eastAsia" w:hAnsi="宋体"/>
                <w:b/>
              </w:rPr>
              <w:t xml:space="preserve">           笔试</w:t>
            </w:r>
          </w:p>
        </w:tc>
      </w:tr>
      <w:tr w14:paraId="3FA77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78065B9C">
            <w:pPr>
              <w:pStyle w:val="2"/>
              <w:spacing w:before="156" w:beforeLines="50" w:after="156" w:afterLines="50"/>
              <w:jc w:val="center"/>
              <w:rPr>
                <w:rFonts w:hAnsi="宋体"/>
              </w:rPr>
            </w:pPr>
            <w:r>
              <w:rPr>
                <w:rFonts w:hint="eastAsia" w:hAnsi="宋体"/>
              </w:rPr>
              <w:t>课程目标3</w:t>
            </w:r>
          </w:p>
        </w:tc>
        <w:tc>
          <w:tcPr>
            <w:tcW w:w="2849" w:type="dxa"/>
            <w:vAlign w:val="center"/>
          </w:tcPr>
          <w:p w14:paraId="26F55C18">
            <w:pPr>
              <w:pStyle w:val="2"/>
              <w:spacing w:before="156" w:beforeLines="50" w:after="156" w:afterLines="50"/>
              <w:jc w:val="center"/>
              <w:rPr>
                <w:rFonts w:hAnsi="宋体"/>
                <w:b/>
              </w:rPr>
            </w:pPr>
            <w:r>
              <w:rPr>
                <w:rFonts w:hint="eastAsia" w:hAnsi="宋体"/>
                <w:b/>
              </w:rPr>
              <w:t>了解自然美学的新领域</w:t>
            </w:r>
          </w:p>
        </w:tc>
        <w:tc>
          <w:tcPr>
            <w:tcW w:w="2849" w:type="dxa"/>
            <w:vAlign w:val="center"/>
          </w:tcPr>
          <w:p w14:paraId="2DDAD844">
            <w:pPr>
              <w:pStyle w:val="2"/>
              <w:spacing w:before="156" w:beforeLines="50" w:after="156" w:afterLines="50"/>
              <w:jc w:val="center"/>
              <w:rPr>
                <w:rFonts w:hAnsi="宋体"/>
                <w:b/>
              </w:rPr>
            </w:pPr>
            <w:r>
              <w:rPr>
                <w:rFonts w:hint="eastAsia" w:hAnsi="宋体"/>
                <w:b/>
              </w:rPr>
              <w:t>笔试</w:t>
            </w:r>
          </w:p>
        </w:tc>
      </w:tr>
    </w:tbl>
    <w:p w14:paraId="2C82E763">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（二）评定方法 </w:t>
      </w:r>
    </w:p>
    <w:p w14:paraId="34F39257">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14:paraId="7F41D11E">
      <w:pPr>
        <w:widowControl/>
        <w:spacing w:before="156" w:beforeLines="50" w:after="156" w:afterLines="50"/>
        <w:jc w:val="left"/>
        <w:rPr>
          <w:rFonts w:ascii="宋体" w:hAnsi="宋体" w:eastAsia="宋体"/>
        </w:rPr>
      </w:pPr>
      <w:r>
        <w:rPr>
          <w:rFonts w:hint="eastAsia" w:ascii="宋体" w:hAnsi="宋体" w:eastAsia="宋体"/>
        </w:rPr>
        <w:t>（例：平时成绩：1</w:t>
      </w:r>
      <w:r>
        <w:rPr>
          <w:rFonts w:ascii="宋体" w:hAnsi="宋体" w:eastAsia="宋体"/>
        </w:rPr>
        <w:t>0%</w:t>
      </w:r>
      <w:r>
        <w:rPr>
          <w:rFonts w:hint="eastAsia" w:ascii="宋体" w:hAnsi="宋体" w:eastAsia="宋体"/>
        </w:rPr>
        <w:t>，期中考试：3</w:t>
      </w:r>
      <w:r>
        <w:rPr>
          <w:rFonts w:ascii="宋体" w:hAnsi="宋体" w:eastAsia="宋体"/>
        </w:rPr>
        <w:t>0%</w:t>
      </w:r>
      <w:r>
        <w:rPr>
          <w:rFonts w:hint="eastAsia" w:ascii="宋体" w:hAnsi="宋体" w:eastAsia="宋体"/>
        </w:rPr>
        <w:t>，期末考试6</w:t>
      </w:r>
      <w:r>
        <w:rPr>
          <w:rFonts w:ascii="宋体" w:hAnsi="宋体" w:eastAsia="宋体"/>
        </w:rPr>
        <w:t>0%</w:t>
      </w:r>
      <w:r>
        <w:rPr>
          <w:rFonts w:hint="eastAsia" w:ascii="宋体" w:hAnsi="宋体" w:eastAsia="宋体"/>
        </w:rPr>
        <w:t>，按课程考核实际情况描述）</w:t>
      </w:r>
    </w:p>
    <w:p w14:paraId="1B0070F9">
      <w:pPr>
        <w:widowControl/>
        <w:spacing w:before="156" w:beforeLines="50" w:after="156" w:afterLines="50"/>
        <w:ind w:firstLine="422" w:firstLineChars="200"/>
        <w:jc w:val="left"/>
        <w:rPr>
          <w:rFonts w:ascii="宋体" w:hAnsi="宋体" w:eastAsia="宋体"/>
        </w:rPr>
      </w:pPr>
      <w:r>
        <w:rPr>
          <w:rFonts w:hint="eastAsia" w:ascii="宋体" w:hAnsi="宋体" w:eastAsia="宋体"/>
          <w:b/>
        </w:rPr>
        <w:t xml:space="preserve">2．课程目标的考核占比与达成度分析 </w:t>
      </w:r>
    </w:p>
    <w:p w14:paraId="7AFACAB5">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6"/>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14:paraId="34789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22" w:type="dxa"/>
            <w:tcBorders>
              <w:tl2br w:val="single" w:color="auto" w:sz="4" w:space="0"/>
            </w:tcBorders>
            <w:shd w:val="clear" w:color="auto" w:fill="auto"/>
            <w:vAlign w:val="center"/>
          </w:tcPr>
          <w:p w14:paraId="023F822F">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14:paraId="59720570">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14:paraId="064774A8">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14:paraId="7E5308C6">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14:paraId="52849987">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14:paraId="4402A4C9">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14:paraId="61B15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14:paraId="1241A8C2">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858" w:type="dxa"/>
            <w:shd w:val="clear" w:color="auto" w:fill="auto"/>
            <w:vAlign w:val="center"/>
          </w:tcPr>
          <w:p w14:paraId="7BF3CF39">
            <w:pPr>
              <w:spacing w:before="156" w:beforeLines="50" w:after="156" w:afterLines="50"/>
              <w:jc w:val="center"/>
              <w:rPr>
                <w:rFonts w:ascii="宋体" w:hAnsi="宋体" w:eastAsia="宋体"/>
                <w:kern w:val="0"/>
                <w:szCs w:val="21"/>
              </w:rPr>
            </w:pPr>
            <w:r>
              <w:rPr>
                <w:rFonts w:hint="eastAsia" w:ascii="宋体" w:hAnsi="宋体" w:eastAsia="宋体"/>
                <w:kern w:val="0"/>
                <w:szCs w:val="21"/>
              </w:rPr>
              <w:t>5%</w:t>
            </w:r>
          </w:p>
        </w:tc>
        <w:tc>
          <w:tcPr>
            <w:tcW w:w="1134" w:type="dxa"/>
            <w:shd w:val="clear" w:color="auto" w:fill="auto"/>
            <w:vAlign w:val="center"/>
          </w:tcPr>
          <w:p w14:paraId="5361B91D">
            <w:pPr>
              <w:spacing w:before="156" w:beforeLines="50" w:after="156" w:afterLines="50"/>
              <w:jc w:val="center"/>
              <w:rPr>
                <w:rFonts w:ascii="宋体" w:hAnsi="宋体" w:eastAsia="宋体"/>
                <w:kern w:val="0"/>
                <w:szCs w:val="21"/>
              </w:rPr>
            </w:pPr>
            <w:r>
              <w:rPr>
                <w:rFonts w:hint="eastAsia" w:ascii="宋体" w:hAnsi="宋体" w:eastAsia="宋体"/>
                <w:kern w:val="0"/>
                <w:szCs w:val="21"/>
              </w:rPr>
              <w:t>10%</w:t>
            </w:r>
          </w:p>
        </w:tc>
        <w:tc>
          <w:tcPr>
            <w:tcW w:w="1134" w:type="dxa"/>
            <w:vAlign w:val="center"/>
          </w:tcPr>
          <w:p w14:paraId="67076DAB">
            <w:pPr>
              <w:spacing w:before="156" w:beforeLines="50" w:after="156" w:afterLines="50"/>
              <w:jc w:val="center"/>
              <w:rPr>
                <w:rFonts w:ascii="宋体" w:hAnsi="宋体" w:eastAsia="宋体"/>
                <w:kern w:val="0"/>
                <w:szCs w:val="21"/>
              </w:rPr>
            </w:pPr>
            <w:r>
              <w:rPr>
                <w:rFonts w:hint="eastAsia" w:ascii="宋体" w:hAnsi="宋体" w:eastAsia="宋体"/>
                <w:kern w:val="0"/>
                <w:szCs w:val="21"/>
              </w:rPr>
              <w:t>20%</w:t>
            </w:r>
          </w:p>
        </w:tc>
        <w:tc>
          <w:tcPr>
            <w:tcW w:w="2627" w:type="dxa"/>
            <w:vMerge w:val="restart"/>
            <w:shd w:val="clear" w:color="auto" w:fill="auto"/>
            <w:vAlign w:val="center"/>
          </w:tcPr>
          <w:p w14:paraId="230714B0">
            <w:pPr>
              <w:spacing w:before="156" w:beforeLines="50" w:after="156" w:afterLines="50"/>
              <w:rPr>
                <w:rFonts w:ascii="宋体" w:hAnsi="宋体" w:eastAsia="宋体"/>
                <w:kern w:val="0"/>
                <w:szCs w:val="21"/>
              </w:rPr>
            </w:pPr>
            <w:r>
              <w:rPr>
                <w:rFonts w:hint="eastAsia" w:ascii="宋体" w:hAnsi="宋体" w:eastAsia="宋体"/>
                <w:kern w:val="0"/>
                <w:szCs w:val="21"/>
              </w:rPr>
              <w:t>（例：课程</w:t>
            </w:r>
            <w:r>
              <w:rPr>
                <w:rFonts w:ascii="宋体" w:hAnsi="宋体" w:eastAsia="宋体"/>
                <w:kern w:val="0"/>
                <w:szCs w:val="21"/>
              </w:rPr>
              <w:t>目标</w:t>
            </w:r>
            <w:r>
              <w:rPr>
                <w:rFonts w:hint="eastAsia" w:ascii="宋体" w:hAnsi="宋体" w:eastAsia="宋体"/>
                <w:kern w:val="0"/>
                <w:szCs w:val="21"/>
              </w:rPr>
              <w:t>1</w:t>
            </w:r>
            <w:r>
              <w:rPr>
                <w:rFonts w:ascii="宋体" w:hAnsi="宋体" w:eastAsia="宋体"/>
                <w:kern w:val="0"/>
                <w:szCs w:val="21"/>
              </w:rPr>
              <w:t>达成度={0.</w:t>
            </w:r>
            <w:r>
              <w:rPr>
                <w:rFonts w:hint="eastAsia" w:ascii="宋体" w:hAnsi="宋体" w:eastAsia="宋体"/>
                <w:kern w:val="0"/>
                <w:szCs w:val="21"/>
              </w:rPr>
              <w:t>3</w:t>
            </w:r>
            <w:r>
              <w:rPr>
                <w:rFonts w:ascii="宋体" w:hAnsi="宋体" w:eastAsia="宋体"/>
                <w:kern w:val="0"/>
                <w:szCs w:val="21"/>
              </w:rPr>
              <w:t>ｘ平时目标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2</w:t>
            </w:r>
            <w:r>
              <w:rPr>
                <w:rFonts w:ascii="宋体" w:hAnsi="宋体" w:eastAsia="宋体"/>
                <w:kern w:val="0"/>
                <w:szCs w:val="21"/>
              </w:rPr>
              <w:t>ｘ期中目标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5</w:t>
            </w:r>
            <w:r>
              <w:rPr>
                <w:rFonts w:ascii="宋体" w:hAnsi="宋体" w:eastAsia="宋体"/>
                <w:kern w:val="0"/>
                <w:szCs w:val="21"/>
              </w:rPr>
              <w:t>ｘ期末目标</w:t>
            </w:r>
            <w:r>
              <w:rPr>
                <w:rFonts w:hint="eastAsia" w:ascii="宋体" w:hAnsi="宋体" w:eastAsia="宋体"/>
                <w:kern w:val="0"/>
                <w:szCs w:val="21"/>
              </w:rPr>
              <w:t>1</w:t>
            </w:r>
            <w:r>
              <w:rPr>
                <w:rFonts w:ascii="宋体" w:hAnsi="宋体" w:eastAsia="宋体"/>
                <w:kern w:val="0"/>
                <w:szCs w:val="21"/>
              </w:rPr>
              <w:t>成绩}/目标</w:t>
            </w:r>
            <w:r>
              <w:rPr>
                <w:rFonts w:hint="eastAsia" w:ascii="宋体" w:hAnsi="宋体" w:eastAsia="宋体"/>
                <w:kern w:val="0"/>
                <w:szCs w:val="21"/>
              </w:rPr>
              <w:t>1</w:t>
            </w:r>
            <w:r>
              <w:rPr>
                <w:rFonts w:ascii="宋体" w:hAnsi="宋体" w:eastAsia="宋体"/>
                <w:kern w:val="0"/>
                <w:szCs w:val="21"/>
              </w:rPr>
              <w:t>总分</w:t>
            </w:r>
            <w:r>
              <w:rPr>
                <w:rFonts w:hint="eastAsia" w:ascii="宋体" w:hAnsi="宋体" w:eastAsia="宋体"/>
                <w:kern w:val="0"/>
                <w:szCs w:val="21"/>
              </w:rPr>
              <w:t>。按课程考核实际情况描述）</w:t>
            </w:r>
          </w:p>
        </w:tc>
      </w:tr>
      <w:tr w14:paraId="0CCCB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14:paraId="6B3F9181">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858" w:type="dxa"/>
            <w:shd w:val="clear" w:color="auto" w:fill="auto"/>
            <w:vAlign w:val="center"/>
          </w:tcPr>
          <w:p w14:paraId="00BDFF13">
            <w:pPr>
              <w:spacing w:before="156" w:beforeLines="50" w:after="156" w:afterLines="50"/>
              <w:jc w:val="center"/>
              <w:rPr>
                <w:rFonts w:ascii="宋体" w:hAnsi="宋体" w:eastAsia="宋体"/>
                <w:kern w:val="0"/>
                <w:szCs w:val="21"/>
              </w:rPr>
            </w:pPr>
            <w:r>
              <w:rPr>
                <w:rFonts w:hint="eastAsia" w:ascii="宋体" w:hAnsi="宋体" w:eastAsia="宋体"/>
                <w:kern w:val="0"/>
                <w:szCs w:val="21"/>
              </w:rPr>
              <w:t>5%</w:t>
            </w:r>
          </w:p>
        </w:tc>
        <w:tc>
          <w:tcPr>
            <w:tcW w:w="1134" w:type="dxa"/>
            <w:shd w:val="clear" w:color="auto" w:fill="auto"/>
            <w:vAlign w:val="center"/>
          </w:tcPr>
          <w:p w14:paraId="13EF1D19">
            <w:pPr>
              <w:spacing w:before="156" w:beforeLines="50" w:after="156" w:afterLines="50"/>
              <w:jc w:val="center"/>
              <w:rPr>
                <w:rFonts w:ascii="宋体" w:hAnsi="宋体" w:eastAsia="宋体"/>
                <w:kern w:val="0"/>
                <w:szCs w:val="21"/>
              </w:rPr>
            </w:pPr>
            <w:r>
              <w:rPr>
                <w:rFonts w:hint="eastAsia" w:ascii="宋体" w:hAnsi="宋体" w:eastAsia="宋体"/>
                <w:kern w:val="0"/>
                <w:szCs w:val="21"/>
              </w:rPr>
              <w:t>10%</w:t>
            </w:r>
          </w:p>
        </w:tc>
        <w:tc>
          <w:tcPr>
            <w:tcW w:w="1134" w:type="dxa"/>
            <w:vAlign w:val="center"/>
          </w:tcPr>
          <w:p w14:paraId="573C0D77">
            <w:pPr>
              <w:spacing w:before="156" w:beforeLines="50" w:after="156" w:afterLines="50"/>
              <w:jc w:val="center"/>
              <w:rPr>
                <w:rFonts w:ascii="宋体" w:hAnsi="宋体" w:eastAsia="宋体"/>
                <w:kern w:val="0"/>
                <w:szCs w:val="21"/>
              </w:rPr>
            </w:pPr>
            <w:r>
              <w:rPr>
                <w:rFonts w:hint="eastAsia" w:ascii="宋体" w:hAnsi="宋体" w:eastAsia="宋体"/>
                <w:kern w:val="0"/>
                <w:szCs w:val="21"/>
              </w:rPr>
              <w:t>20%</w:t>
            </w:r>
          </w:p>
        </w:tc>
        <w:tc>
          <w:tcPr>
            <w:tcW w:w="2627" w:type="dxa"/>
            <w:vMerge w:val="continue"/>
            <w:shd w:val="clear" w:color="auto" w:fill="auto"/>
            <w:vAlign w:val="center"/>
          </w:tcPr>
          <w:p w14:paraId="35DD7B37">
            <w:pPr>
              <w:spacing w:before="156" w:beforeLines="50" w:after="156" w:afterLines="50"/>
              <w:rPr>
                <w:rFonts w:ascii="宋体" w:hAnsi="宋体" w:eastAsia="宋体"/>
                <w:kern w:val="0"/>
                <w:szCs w:val="21"/>
              </w:rPr>
            </w:pPr>
          </w:p>
        </w:tc>
      </w:tr>
      <w:tr w14:paraId="6AE6B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14:paraId="2536AC02">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858" w:type="dxa"/>
            <w:shd w:val="clear" w:color="auto" w:fill="auto"/>
            <w:vAlign w:val="center"/>
          </w:tcPr>
          <w:p w14:paraId="3D7194B4">
            <w:pPr>
              <w:spacing w:before="156" w:beforeLines="50" w:after="156" w:afterLines="50"/>
              <w:jc w:val="center"/>
              <w:rPr>
                <w:rFonts w:ascii="宋体" w:hAnsi="宋体" w:eastAsia="宋体"/>
                <w:kern w:val="0"/>
                <w:szCs w:val="21"/>
              </w:rPr>
            </w:pPr>
            <w:r>
              <w:rPr>
                <w:rFonts w:hint="eastAsia" w:ascii="宋体" w:hAnsi="宋体" w:eastAsia="宋体"/>
                <w:kern w:val="0"/>
                <w:szCs w:val="21"/>
              </w:rPr>
              <w:t>5%</w:t>
            </w:r>
          </w:p>
        </w:tc>
        <w:tc>
          <w:tcPr>
            <w:tcW w:w="1134" w:type="dxa"/>
            <w:shd w:val="clear" w:color="auto" w:fill="auto"/>
            <w:vAlign w:val="center"/>
          </w:tcPr>
          <w:p w14:paraId="49629E46">
            <w:pPr>
              <w:spacing w:before="156" w:beforeLines="50" w:after="156" w:afterLines="50"/>
              <w:jc w:val="center"/>
              <w:rPr>
                <w:rFonts w:ascii="宋体" w:hAnsi="宋体" w:eastAsia="宋体"/>
                <w:kern w:val="0"/>
                <w:szCs w:val="21"/>
              </w:rPr>
            </w:pPr>
            <w:r>
              <w:rPr>
                <w:rFonts w:hint="eastAsia" w:ascii="宋体" w:hAnsi="宋体" w:eastAsia="宋体"/>
                <w:kern w:val="0"/>
                <w:szCs w:val="21"/>
              </w:rPr>
              <w:t>10%</w:t>
            </w:r>
          </w:p>
        </w:tc>
        <w:tc>
          <w:tcPr>
            <w:tcW w:w="1134" w:type="dxa"/>
            <w:vAlign w:val="center"/>
          </w:tcPr>
          <w:p w14:paraId="675EB7F2">
            <w:pPr>
              <w:spacing w:before="156" w:beforeLines="50" w:after="156" w:afterLines="50"/>
              <w:jc w:val="center"/>
              <w:rPr>
                <w:rFonts w:ascii="宋体" w:hAnsi="宋体" w:eastAsia="宋体"/>
                <w:kern w:val="0"/>
                <w:szCs w:val="21"/>
              </w:rPr>
            </w:pPr>
            <w:r>
              <w:rPr>
                <w:rFonts w:hint="eastAsia" w:ascii="宋体" w:hAnsi="宋体" w:eastAsia="宋体"/>
                <w:kern w:val="0"/>
                <w:szCs w:val="21"/>
              </w:rPr>
              <w:t>15%</w:t>
            </w:r>
          </w:p>
        </w:tc>
        <w:tc>
          <w:tcPr>
            <w:tcW w:w="2627" w:type="dxa"/>
            <w:vMerge w:val="continue"/>
            <w:shd w:val="clear" w:color="auto" w:fill="auto"/>
            <w:vAlign w:val="center"/>
          </w:tcPr>
          <w:p w14:paraId="37C3BAEC">
            <w:pPr>
              <w:spacing w:before="156" w:beforeLines="50" w:after="156" w:afterLines="50"/>
              <w:rPr>
                <w:rFonts w:ascii="宋体" w:hAnsi="宋体" w:eastAsia="宋体"/>
                <w:kern w:val="0"/>
                <w:szCs w:val="21"/>
              </w:rPr>
            </w:pPr>
          </w:p>
        </w:tc>
      </w:tr>
    </w:tbl>
    <w:p w14:paraId="30E94498">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p>
    <w:tbl>
      <w:tblPr>
        <w:tblStyle w:val="6"/>
        <w:tblW w:w="104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4"/>
        <w:gridCol w:w="2006"/>
        <w:gridCol w:w="2006"/>
        <w:gridCol w:w="1863"/>
        <w:gridCol w:w="1798"/>
        <w:gridCol w:w="1798"/>
      </w:tblGrid>
      <w:tr w14:paraId="15675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14:paraId="7FF95BB9">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14:paraId="1C40C69D">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14:paraId="7C1038FE">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14:paraId="6EECC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14:paraId="39AD12D3">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3FB80A82">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14:paraId="1277FF9C">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14:paraId="2095CA1B">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14:paraId="2D773DC2">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14:paraId="52890E0C">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14:paraId="7D337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14:paraId="0BF3F715">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295A8A84">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14:paraId="1180B20A">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14:paraId="113AD312">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14:paraId="18C01E2D">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14:paraId="1D526683">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14:paraId="4C15A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14:paraId="39A85B1D">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0ABC328B">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14:paraId="70EBAB27">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14:paraId="1C11DAE6">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14:paraId="74077A66">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14:paraId="5DEF9AE2">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14:paraId="65776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7578DBFB">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389C16A8">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14:paraId="61864751">
            <w:pPr>
              <w:spacing w:before="156" w:beforeLines="50" w:after="156" w:afterLines="50"/>
              <w:rPr>
                <w:rFonts w:ascii="宋体" w:hAnsi="宋体" w:eastAsia="宋体"/>
                <w:szCs w:val="21"/>
              </w:rPr>
            </w:pPr>
            <w:r>
              <w:rPr>
                <w:rFonts w:hint="eastAsia" w:ascii="宋体" w:hAnsi="宋体" w:eastAsia="宋体"/>
                <w:szCs w:val="21"/>
              </w:rPr>
              <w:t xml:space="preserve">     30-35</w:t>
            </w:r>
          </w:p>
          <w:p w14:paraId="40C09495">
            <w:pPr>
              <w:spacing w:before="156" w:beforeLines="50" w:after="156" w:afterLines="50"/>
              <w:rPr>
                <w:rFonts w:ascii="宋体" w:hAnsi="宋体" w:eastAsia="宋体"/>
                <w:szCs w:val="21"/>
              </w:rPr>
            </w:pPr>
            <w:r>
              <w:rPr>
                <w:rFonts w:hint="eastAsia" w:ascii="宋体" w:hAnsi="宋体" w:eastAsia="宋体"/>
                <w:szCs w:val="21"/>
              </w:rPr>
              <w:t xml:space="preserve">       优</w:t>
            </w:r>
          </w:p>
          <w:p w14:paraId="571E0937">
            <w:pPr>
              <w:spacing w:before="156" w:beforeLines="50" w:after="156" w:afterLines="50"/>
              <w:rPr>
                <w:rFonts w:ascii="宋体" w:hAnsi="宋体" w:eastAsia="宋体"/>
                <w:szCs w:val="21"/>
              </w:rPr>
            </w:pPr>
            <w:r>
              <w:rPr>
                <w:rFonts w:hint="eastAsia" w:ascii="宋体" w:hAnsi="宋体" w:eastAsia="宋体"/>
                <w:szCs w:val="21"/>
              </w:rPr>
              <w:t xml:space="preserve">       A</w:t>
            </w:r>
          </w:p>
        </w:tc>
        <w:tc>
          <w:tcPr>
            <w:tcW w:w="1984" w:type="dxa"/>
            <w:tcBorders>
              <w:top w:val="single" w:color="auto" w:sz="4" w:space="0"/>
              <w:left w:val="single" w:color="auto" w:sz="4" w:space="0"/>
              <w:bottom w:val="single" w:color="auto" w:sz="4" w:space="0"/>
              <w:right w:val="single" w:color="auto" w:sz="4" w:space="0"/>
            </w:tcBorders>
          </w:tcPr>
          <w:p w14:paraId="39F1B99C">
            <w:pPr>
              <w:spacing w:before="156" w:beforeLines="50" w:after="156" w:afterLines="50"/>
              <w:ind w:firstLine="630" w:firstLineChars="300"/>
              <w:rPr>
                <w:rFonts w:ascii="宋体" w:hAnsi="宋体" w:eastAsia="宋体"/>
                <w:szCs w:val="21"/>
              </w:rPr>
            </w:pPr>
            <w:r>
              <w:rPr>
                <w:rFonts w:hint="eastAsia" w:ascii="宋体" w:hAnsi="宋体" w:eastAsia="宋体"/>
                <w:szCs w:val="21"/>
              </w:rPr>
              <w:t>20-30</w:t>
            </w:r>
          </w:p>
          <w:p w14:paraId="096A718A">
            <w:pPr>
              <w:spacing w:before="156" w:beforeLines="50" w:after="156" w:afterLines="50"/>
              <w:rPr>
                <w:rFonts w:ascii="宋体" w:hAnsi="宋体" w:eastAsia="宋体"/>
                <w:szCs w:val="21"/>
              </w:rPr>
            </w:pPr>
            <w:r>
              <w:rPr>
                <w:rFonts w:hint="eastAsia" w:ascii="宋体" w:hAnsi="宋体" w:eastAsia="宋体"/>
                <w:szCs w:val="21"/>
              </w:rPr>
              <w:t xml:space="preserve">      良</w:t>
            </w:r>
          </w:p>
          <w:p w14:paraId="3654692F">
            <w:pPr>
              <w:spacing w:before="156" w:beforeLines="50" w:after="156" w:afterLines="50"/>
              <w:rPr>
                <w:rFonts w:ascii="宋体" w:hAnsi="宋体" w:eastAsia="宋体"/>
                <w:szCs w:val="21"/>
              </w:rPr>
            </w:pPr>
            <w:r>
              <w:rPr>
                <w:rFonts w:hint="eastAsia" w:ascii="宋体" w:hAnsi="宋体" w:eastAsia="宋体"/>
                <w:szCs w:val="21"/>
              </w:rPr>
              <w:t xml:space="preserve">      B</w:t>
            </w:r>
          </w:p>
        </w:tc>
        <w:tc>
          <w:tcPr>
            <w:tcW w:w="1843" w:type="dxa"/>
            <w:tcBorders>
              <w:top w:val="single" w:color="auto" w:sz="4" w:space="0"/>
              <w:left w:val="single" w:color="auto" w:sz="4" w:space="0"/>
              <w:bottom w:val="single" w:color="auto" w:sz="4" w:space="0"/>
              <w:right w:val="single" w:color="auto" w:sz="4" w:space="0"/>
            </w:tcBorders>
          </w:tcPr>
          <w:p w14:paraId="06E06B14">
            <w:pPr>
              <w:spacing w:before="156" w:beforeLines="50" w:after="156" w:afterLines="50"/>
              <w:rPr>
                <w:rFonts w:ascii="宋体" w:hAnsi="宋体" w:eastAsia="宋体"/>
                <w:szCs w:val="21"/>
              </w:rPr>
            </w:pPr>
            <w:r>
              <w:rPr>
                <w:rFonts w:hint="eastAsia" w:ascii="宋体" w:hAnsi="宋体" w:eastAsia="宋体"/>
                <w:szCs w:val="21"/>
              </w:rPr>
              <w:t xml:space="preserve">   10-19</w:t>
            </w:r>
          </w:p>
          <w:p w14:paraId="7E7A4340">
            <w:pPr>
              <w:spacing w:before="156" w:beforeLines="50" w:after="156" w:afterLines="50"/>
              <w:ind w:firstLine="420"/>
              <w:rPr>
                <w:rFonts w:ascii="宋体" w:hAnsi="宋体" w:eastAsia="宋体"/>
                <w:szCs w:val="21"/>
              </w:rPr>
            </w:pPr>
            <w:r>
              <w:rPr>
                <w:rFonts w:hint="eastAsia" w:ascii="宋体" w:hAnsi="宋体" w:eastAsia="宋体"/>
                <w:szCs w:val="21"/>
              </w:rPr>
              <w:t>中</w:t>
            </w:r>
          </w:p>
          <w:p w14:paraId="5F54009F">
            <w:pPr>
              <w:spacing w:before="156" w:beforeLines="50" w:after="156" w:afterLines="50"/>
              <w:ind w:firstLine="420"/>
              <w:rPr>
                <w:rFonts w:ascii="宋体" w:hAnsi="宋体" w:eastAsia="宋体"/>
                <w:szCs w:val="21"/>
              </w:rPr>
            </w:pPr>
            <w:r>
              <w:rPr>
                <w:rFonts w:hint="eastAsia" w:ascii="宋体" w:hAnsi="宋体" w:eastAsia="宋体"/>
                <w:szCs w:val="21"/>
              </w:rPr>
              <w:t>C</w:t>
            </w:r>
          </w:p>
        </w:tc>
        <w:tc>
          <w:tcPr>
            <w:tcW w:w="1779" w:type="dxa"/>
            <w:tcBorders>
              <w:top w:val="single" w:color="auto" w:sz="4" w:space="0"/>
              <w:left w:val="single" w:color="auto" w:sz="4" w:space="0"/>
              <w:bottom w:val="single" w:color="auto" w:sz="4" w:space="0"/>
              <w:right w:val="single" w:color="auto" w:sz="4" w:space="0"/>
            </w:tcBorders>
          </w:tcPr>
          <w:p w14:paraId="5B4D4267">
            <w:pPr>
              <w:spacing w:before="156" w:beforeLines="50" w:after="156" w:afterLines="50"/>
              <w:rPr>
                <w:rFonts w:ascii="宋体" w:hAnsi="宋体" w:eastAsia="宋体"/>
                <w:szCs w:val="21"/>
              </w:rPr>
            </w:pPr>
            <w:r>
              <w:rPr>
                <w:rFonts w:hint="eastAsia" w:ascii="宋体" w:hAnsi="宋体" w:eastAsia="宋体"/>
                <w:szCs w:val="21"/>
              </w:rPr>
              <w:t xml:space="preserve">  8-10</w:t>
            </w:r>
          </w:p>
          <w:p w14:paraId="166BE173">
            <w:pPr>
              <w:spacing w:before="156" w:beforeLines="50" w:after="156" w:afterLines="50"/>
              <w:rPr>
                <w:rFonts w:ascii="宋体" w:hAnsi="宋体" w:eastAsia="宋体"/>
                <w:szCs w:val="21"/>
              </w:rPr>
            </w:pPr>
            <w:r>
              <w:rPr>
                <w:rFonts w:hint="eastAsia" w:ascii="宋体" w:hAnsi="宋体" w:eastAsia="宋体"/>
                <w:szCs w:val="21"/>
              </w:rPr>
              <w:t xml:space="preserve">  合格</w:t>
            </w:r>
          </w:p>
          <w:p w14:paraId="34A8B7B8">
            <w:pPr>
              <w:spacing w:before="156" w:beforeLines="50" w:after="156" w:afterLines="50"/>
              <w:rPr>
                <w:rFonts w:ascii="宋体" w:hAnsi="宋体" w:eastAsia="宋体"/>
                <w:szCs w:val="21"/>
              </w:rPr>
            </w:pPr>
            <w:r>
              <w:rPr>
                <w:rFonts w:hint="eastAsia" w:ascii="宋体" w:hAnsi="宋体" w:eastAsia="宋体"/>
                <w:szCs w:val="21"/>
              </w:rPr>
              <w:t xml:space="preserve">  D</w:t>
            </w:r>
          </w:p>
        </w:tc>
        <w:tc>
          <w:tcPr>
            <w:tcW w:w="1779" w:type="dxa"/>
            <w:tcBorders>
              <w:top w:val="single" w:color="auto" w:sz="4" w:space="0"/>
              <w:left w:val="single" w:color="auto" w:sz="4" w:space="0"/>
              <w:bottom w:val="single" w:color="auto" w:sz="4" w:space="0"/>
              <w:right w:val="single" w:color="auto" w:sz="4" w:space="0"/>
            </w:tcBorders>
          </w:tcPr>
          <w:p w14:paraId="73C4123E">
            <w:pPr>
              <w:spacing w:before="156" w:beforeLines="50" w:after="156" w:afterLines="50"/>
              <w:rPr>
                <w:rFonts w:ascii="宋体" w:hAnsi="宋体" w:eastAsia="宋体"/>
                <w:szCs w:val="21"/>
              </w:rPr>
            </w:pPr>
            <w:r>
              <w:rPr>
                <w:rFonts w:hint="eastAsia" w:ascii="宋体" w:hAnsi="宋体" w:eastAsia="宋体"/>
                <w:szCs w:val="21"/>
              </w:rPr>
              <w:t xml:space="preserve">   1-8</w:t>
            </w:r>
          </w:p>
          <w:p w14:paraId="3218031C">
            <w:pPr>
              <w:spacing w:before="156" w:beforeLines="50" w:after="156" w:afterLines="50"/>
              <w:rPr>
                <w:rFonts w:ascii="宋体" w:hAnsi="宋体" w:eastAsia="宋体"/>
                <w:szCs w:val="21"/>
              </w:rPr>
            </w:pPr>
            <w:r>
              <w:rPr>
                <w:rFonts w:hint="eastAsia" w:ascii="宋体" w:hAnsi="宋体" w:eastAsia="宋体"/>
                <w:szCs w:val="21"/>
              </w:rPr>
              <w:t xml:space="preserve">   不合格</w:t>
            </w:r>
          </w:p>
          <w:p w14:paraId="479CCD28">
            <w:pPr>
              <w:spacing w:before="156" w:beforeLines="50" w:after="156" w:afterLines="50"/>
              <w:rPr>
                <w:rFonts w:ascii="宋体" w:hAnsi="宋体" w:eastAsia="宋体"/>
                <w:szCs w:val="21"/>
              </w:rPr>
            </w:pPr>
            <w:r>
              <w:rPr>
                <w:rFonts w:hint="eastAsia" w:ascii="宋体" w:hAnsi="宋体" w:eastAsia="宋体"/>
                <w:szCs w:val="21"/>
              </w:rPr>
              <w:t xml:space="preserve">   F</w:t>
            </w:r>
          </w:p>
        </w:tc>
      </w:tr>
      <w:tr w14:paraId="6EC07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30453AFC">
            <w:pPr>
              <w:spacing w:before="156" w:beforeLines="50" w:after="156" w:afterLines="50"/>
              <w:jc w:val="center"/>
              <w:rPr>
                <w:rFonts w:ascii="宋体" w:hAnsi="宋体" w:eastAsia="宋体"/>
                <w:b/>
                <w:bCs/>
                <w:kern w:val="0"/>
                <w:szCs w:val="21"/>
              </w:rPr>
            </w:pPr>
            <w:bookmarkStart w:id="4" w:name="_Hlk176031797"/>
            <w:r>
              <w:rPr>
                <w:rFonts w:hint="eastAsia" w:ascii="宋体" w:hAnsi="宋体" w:eastAsia="宋体"/>
                <w:b/>
                <w:bCs/>
                <w:kern w:val="0"/>
                <w:szCs w:val="21"/>
              </w:rPr>
              <w:t>课程</w:t>
            </w:r>
          </w:p>
          <w:p w14:paraId="6AF4923D">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14:paraId="612ECD26">
            <w:pPr>
              <w:spacing w:before="156" w:beforeLines="50" w:after="156" w:afterLines="50"/>
              <w:ind w:firstLine="420" w:firstLineChars="200"/>
              <w:rPr>
                <w:rFonts w:ascii="宋体" w:hAnsi="宋体" w:eastAsia="宋体"/>
                <w:szCs w:val="21"/>
              </w:rPr>
            </w:pPr>
            <w:r>
              <w:rPr>
                <w:rFonts w:hint="eastAsia" w:ascii="宋体" w:hAnsi="宋体" w:eastAsia="宋体"/>
                <w:szCs w:val="21"/>
              </w:rPr>
              <w:t>30-35</w:t>
            </w:r>
          </w:p>
          <w:p w14:paraId="5B812683">
            <w:pPr>
              <w:spacing w:before="156" w:beforeLines="50" w:after="156" w:afterLines="50"/>
              <w:rPr>
                <w:rFonts w:ascii="宋体" w:hAnsi="宋体" w:eastAsia="宋体"/>
                <w:szCs w:val="21"/>
              </w:rPr>
            </w:pPr>
            <w:r>
              <w:rPr>
                <w:rFonts w:hint="eastAsia" w:ascii="宋体" w:hAnsi="宋体" w:eastAsia="宋体"/>
                <w:szCs w:val="21"/>
              </w:rPr>
              <w:t xml:space="preserve">       优</w:t>
            </w:r>
          </w:p>
          <w:p w14:paraId="439B0CF2">
            <w:pPr>
              <w:spacing w:before="156" w:beforeLines="50" w:after="156" w:afterLines="50"/>
              <w:rPr>
                <w:rFonts w:ascii="宋体" w:hAnsi="宋体" w:eastAsia="宋体"/>
                <w:szCs w:val="21"/>
              </w:rPr>
            </w:pPr>
            <w:r>
              <w:rPr>
                <w:rFonts w:hint="eastAsia" w:ascii="宋体" w:hAnsi="宋体" w:eastAsia="宋体"/>
                <w:szCs w:val="21"/>
              </w:rPr>
              <w:t xml:space="preserve">       A</w:t>
            </w:r>
          </w:p>
        </w:tc>
        <w:tc>
          <w:tcPr>
            <w:tcW w:w="1984" w:type="dxa"/>
            <w:tcBorders>
              <w:top w:val="single" w:color="auto" w:sz="4" w:space="0"/>
              <w:left w:val="single" w:color="auto" w:sz="4" w:space="0"/>
              <w:bottom w:val="single" w:color="auto" w:sz="4" w:space="0"/>
              <w:right w:val="single" w:color="auto" w:sz="4" w:space="0"/>
            </w:tcBorders>
          </w:tcPr>
          <w:p w14:paraId="61661942">
            <w:pPr>
              <w:spacing w:before="156" w:beforeLines="50" w:after="156" w:afterLines="50"/>
              <w:ind w:firstLine="630" w:firstLineChars="300"/>
              <w:rPr>
                <w:rFonts w:ascii="宋体" w:hAnsi="宋体" w:eastAsia="宋体"/>
                <w:szCs w:val="21"/>
              </w:rPr>
            </w:pPr>
            <w:r>
              <w:rPr>
                <w:rFonts w:hint="eastAsia" w:ascii="宋体" w:hAnsi="宋体" w:eastAsia="宋体"/>
                <w:szCs w:val="21"/>
              </w:rPr>
              <w:t>20-30</w:t>
            </w:r>
          </w:p>
          <w:p w14:paraId="24E3D717">
            <w:pPr>
              <w:spacing w:before="156" w:beforeLines="50" w:after="156" w:afterLines="50"/>
              <w:rPr>
                <w:rFonts w:ascii="宋体" w:hAnsi="宋体" w:eastAsia="宋体"/>
                <w:szCs w:val="21"/>
              </w:rPr>
            </w:pPr>
            <w:r>
              <w:rPr>
                <w:rFonts w:hint="eastAsia" w:ascii="宋体" w:hAnsi="宋体" w:eastAsia="宋体"/>
                <w:szCs w:val="21"/>
              </w:rPr>
              <w:t xml:space="preserve">      良</w:t>
            </w:r>
          </w:p>
          <w:p w14:paraId="2E4C7136">
            <w:pPr>
              <w:spacing w:before="156" w:beforeLines="50" w:after="156" w:afterLines="50"/>
              <w:rPr>
                <w:rFonts w:ascii="宋体" w:hAnsi="宋体" w:eastAsia="宋体"/>
                <w:szCs w:val="21"/>
              </w:rPr>
            </w:pPr>
            <w:r>
              <w:rPr>
                <w:rFonts w:hint="eastAsia" w:ascii="宋体" w:hAnsi="宋体" w:eastAsia="宋体"/>
                <w:szCs w:val="21"/>
              </w:rPr>
              <w:t xml:space="preserve">      B</w:t>
            </w:r>
          </w:p>
        </w:tc>
        <w:tc>
          <w:tcPr>
            <w:tcW w:w="1843" w:type="dxa"/>
            <w:tcBorders>
              <w:top w:val="single" w:color="auto" w:sz="4" w:space="0"/>
              <w:left w:val="single" w:color="auto" w:sz="4" w:space="0"/>
              <w:bottom w:val="single" w:color="auto" w:sz="4" w:space="0"/>
              <w:right w:val="single" w:color="auto" w:sz="4" w:space="0"/>
            </w:tcBorders>
          </w:tcPr>
          <w:p w14:paraId="00AC55A7">
            <w:pPr>
              <w:spacing w:before="156" w:beforeLines="50" w:after="156" w:afterLines="50"/>
              <w:ind w:firstLine="210" w:firstLineChars="100"/>
              <w:rPr>
                <w:rFonts w:ascii="宋体" w:hAnsi="宋体" w:eastAsia="宋体"/>
                <w:szCs w:val="21"/>
              </w:rPr>
            </w:pPr>
            <w:r>
              <w:rPr>
                <w:rFonts w:hint="eastAsia" w:ascii="宋体" w:hAnsi="宋体" w:eastAsia="宋体"/>
                <w:szCs w:val="21"/>
              </w:rPr>
              <w:t>10-19</w:t>
            </w:r>
          </w:p>
          <w:p w14:paraId="6E5E9380">
            <w:pPr>
              <w:spacing w:before="156" w:beforeLines="50" w:after="156" w:afterLines="50"/>
              <w:ind w:firstLine="420"/>
              <w:rPr>
                <w:rFonts w:ascii="宋体" w:hAnsi="宋体" w:eastAsia="宋体"/>
                <w:szCs w:val="21"/>
              </w:rPr>
            </w:pPr>
            <w:r>
              <w:rPr>
                <w:rFonts w:hint="eastAsia" w:ascii="宋体" w:hAnsi="宋体" w:eastAsia="宋体"/>
                <w:szCs w:val="21"/>
              </w:rPr>
              <w:t>中</w:t>
            </w:r>
          </w:p>
          <w:p w14:paraId="45A00187">
            <w:pPr>
              <w:spacing w:before="156" w:beforeLines="50" w:after="156" w:afterLines="50"/>
              <w:ind w:firstLine="420" w:firstLineChars="200"/>
              <w:rPr>
                <w:rFonts w:ascii="宋体" w:hAnsi="宋体" w:eastAsia="宋体"/>
                <w:szCs w:val="21"/>
              </w:rPr>
            </w:pPr>
            <w:r>
              <w:rPr>
                <w:rFonts w:hint="eastAsia" w:ascii="宋体" w:hAnsi="宋体" w:eastAsia="宋体"/>
                <w:szCs w:val="21"/>
              </w:rPr>
              <w:t>C</w:t>
            </w:r>
          </w:p>
        </w:tc>
        <w:tc>
          <w:tcPr>
            <w:tcW w:w="1779" w:type="dxa"/>
            <w:tcBorders>
              <w:top w:val="single" w:color="auto" w:sz="4" w:space="0"/>
              <w:left w:val="single" w:color="auto" w:sz="4" w:space="0"/>
              <w:bottom w:val="single" w:color="auto" w:sz="4" w:space="0"/>
              <w:right w:val="single" w:color="auto" w:sz="4" w:space="0"/>
            </w:tcBorders>
          </w:tcPr>
          <w:p w14:paraId="1B43013A">
            <w:pPr>
              <w:spacing w:before="156" w:beforeLines="50" w:after="156" w:afterLines="50"/>
              <w:ind w:firstLine="210" w:firstLineChars="100"/>
              <w:rPr>
                <w:rFonts w:ascii="宋体" w:hAnsi="宋体" w:eastAsia="宋体"/>
                <w:szCs w:val="21"/>
              </w:rPr>
            </w:pPr>
            <w:r>
              <w:rPr>
                <w:rFonts w:hint="eastAsia" w:ascii="宋体" w:hAnsi="宋体" w:eastAsia="宋体"/>
                <w:szCs w:val="21"/>
              </w:rPr>
              <w:t>8-10</w:t>
            </w:r>
          </w:p>
          <w:p w14:paraId="7492C9B6">
            <w:pPr>
              <w:spacing w:before="156" w:beforeLines="50" w:after="156" w:afterLines="50"/>
              <w:rPr>
                <w:rFonts w:ascii="宋体" w:hAnsi="宋体" w:eastAsia="宋体"/>
                <w:szCs w:val="21"/>
              </w:rPr>
            </w:pPr>
            <w:r>
              <w:rPr>
                <w:rFonts w:hint="eastAsia" w:ascii="宋体" w:hAnsi="宋体" w:eastAsia="宋体"/>
                <w:szCs w:val="21"/>
              </w:rPr>
              <w:t xml:space="preserve">  合格</w:t>
            </w:r>
          </w:p>
          <w:p w14:paraId="26677AE0">
            <w:pPr>
              <w:spacing w:before="156" w:beforeLines="50" w:after="156" w:afterLines="50"/>
              <w:rPr>
                <w:rFonts w:ascii="宋体" w:hAnsi="宋体" w:eastAsia="宋体"/>
                <w:szCs w:val="21"/>
              </w:rPr>
            </w:pPr>
            <w:r>
              <w:rPr>
                <w:rFonts w:hint="eastAsia" w:ascii="宋体" w:hAnsi="宋体" w:eastAsia="宋体"/>
                <w:szCs w:val="21"/>
              </w:rPr>
              <w:t xml:space="preserve">  D</w:t>
            </w:r>
          </w:p>
        </w:tc>
        <w:tc>
          <w:tcPr>
            <w:tcW w:w="1779" w:type="dxa"/>
            <w:tcBorders>
              <w:top w:val="single" w:color="auto" w:sz="4" w:space="0"/>
              <w:left w:val="single" w:color="auto" w:sz="4" w:space="0"/>
              <w:bottom w:val="single" w:color="auto" w:sz="4" w:space="0"/>
              <w:right w:val="single" w:color="auto" w:sz="4" w:space="0"/>
            </w:tcBorders>
          </w:tcPr>
          <w:p w14:paraId="083DF0DC">
            <w:pPr>
              <w:spacing w:before="156" w:beforeLines="50" w:after="156" w:afterLines="50"/>
              <w:rPr>
                <w:rFonts w:ascii="宋体" w:hAnsi="宋体" w:eastAsia="宋体"/>
                <w:szCs w:val="21"/>
              </w:rPr>
            </w:pPr>
            <w:r>
              <w:rPr>
                <w:rFonts w:hint="eastAsia" w:ascii="宋体" w:hAnsi="宋体" w:eastAsia="宋体"/>
                <w:szCs w:val="21"/>
              </w:rPr>
              <w:t xml:space="preserve">  1-8</w:t>
            </w:r>
          </w:p>
          <w:p w14:paraId="4B4DCC43">
            <w:pPr>
              <w:spacing w:before="156" w:beforeLines="50" w:after="156" w:afterLines="50"/>
              <w:rPr>
                <w:rFonts w:ascii="宋体" w:hAnsi="宋体" w:eastAsia="宋体"/>
                <w:szCs w:val="21"/>
              </w:rPr>
            </w:pPr>
            <w:r>
              <w:rPr>
                <w:rFonts w:hint="eastAsia" w:ascii="宋体" w:hAnsi="宋体" w:eastAsia="宋体"/>
                <w:szCs w:val="21"/>
              </w:rPr>
              <w:t xml:space="preserve">   不合格</w:t>
            </w:r>
          </w:p>
          <w:p w14:paraId="6AE1AD41">
            <w:pPr>
              <w:spacing w:before="156" w:beforeLines="50" w:after="156" w:afterLines="50"/>
              <w:rPr>
                <w:rFonts w:ascii="宋体" w:hAnsi="宋体" w:eastAsia="宋体"/>
                <w:szCs w:val="21"/>
              </w:rPr>
            </w:pPr>
            <w:r>
              <w:rPr>
                <w:rFonts w:hint="eastAsia" w:ascii="宋体" w:hAnsi="宋体" w:eastAsia="宋体"/>
                <w:szCs w:val="21"/>
              </w:rPr>
              <w:t xml:space="preserve">   F</w:t>
            </w:r>
          </w:p>
        </w:tc>
      </w:tr>
      <w:tr w14:paraId="6CDC4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1B07BB4B">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7075C2BC">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w:t>
            </w:r>
            <w:r>
              <w:rPr>
                <w:rFonts w:hint="eastAsia" w:ascii="宋体" w:hAnsi="宋体" w:eastAsia="宋体"/>
                <w:b/>
                <w:bCs/>
                <w:kern w:val="0"/>
                <w:szCs w:val="21"/>
              </w:rPr>
              <w:t>3</w:t>
            </w:r>
          </w:p>
          <w:p w14:paraId="0D0D93B3">
            <w:pPr>
              <w:spacing w:before="156" w:beforeLines="50" w:after="156" w:afterLines="50"/>
              <w:jc w:val="center"/>
              <w:rPr>
                <w:rFonts w:ascii="宋体" w:hAnsi="宋体" w:eastAsia="宋体"/>
                <w:b/>
                <w:bCs/>
                <w:kern w:val="0"/>
                <w:szCs w:val="21"/>
              </w:rPr>
            </w:pPr>
          </w:p>
          <w:p w14:paraId="4AD9A527">
            <w:pPr>
              <w:spacing w:before="156" w:beforeLines="50" w:after="156" w:afterLines="50"/>
              <w:jc w:val="center"/>
              <w:rPr>
                <w:rFonts w:ascii="宋体" w:hAnsi="宋体" w:eastAsia="宋体"/>
                <w:b/>
                <w:bCs/>
                <w:kern w:val="0"/>
                <w:szCs w:val="21"/>
              </w:rPr>
            </w:pPr>
          </w:p>
          <w:p w14:paraId="067F33BD">
            <w:pPr>
              <w:spacing w:before="156" w:beforeLines="50" w:after="156" w:afterLines="50"/>
              <w:jc w:val="center"/>
              <w:rPr>
                <w:rFonts w:ascii="宋体" w:hAnsi="宋体" w:eastAsia="宋体"/>
                <w:b/>
                <w:bCs/>
                <w:kern w:val="0"/>
                <w:szCs w:val="21"/>
              </w:rPr>
            </w:pPr>
          </w:p>
        </w:tc>
        <w:tc>
          <w:tcPr>
            <w:tcW w:w="1984" w:type="dxa"/>
            <w:tcBorders>
              <w:top w:val="single" w:color="auto" w:sz="4" w:space="0"/>
              <w:left w:val="single" w:color="auto" w:sz="4" w:space="0"/>
              <w:bottom w:val="single" w:color="auto" w:sz="4" w:space="0"/>
              <w:right w:val="single" w:color="auto" w:sz="4" w:space="0"/>
            </w:tcBorders>
          </w:tcPr>
          <w:p w14:paraId="236F3232">
            <w:pPr>
              <w:spacing w:before="156" w:beforeLines="50" w:after="156" w:afterLines="50"/>
              <w:ind w:firstLine="420" w:firstLineChars="200"/>
              <w:rPr>
                <w:rFonts w:ascii="宋体" w:hAnsi="宋体" w:eastAsia="宋体"/>
                <w:szCs w:val="21"/>
              </w:rPr>
            </w:pPr>
            <w:r>
              <w:rPr>
                <w:rFonts w:hint="eastAsia" w:ascii="宋体" w:hAnsi="宋体" w:eastAsia="宋体"/>
                <w:szCs w:val="21"/>
              </w:rPr>
              <w:t>25-30</w:t>
            </w:r>
          </w:p>
          <w:p w14:paraId="58F091B5">
            <w:pPr>
              <w:spacing w:before="156" w:beforeLines="50" w:after="156" w:afterLines="50"/>
              <w:ind w:firstLine="420" w:firstLineChars="200"/>
              <w:rPr>
                <w:rFonts w:ascii="宋体" w:hAnsi="宋体" w:eastAsia="宋体"/>
                <w:szCs w:val="21"/>
              </w:rPr>
            </w:pPr>
            <w:r>
              <w:rPr>
                <w:rFonts w:hint="eastAsia" w:ascii="宋体" w:hAnsi="宋体" w:eastAsia="宋体"/>
                <w:szCs w:val="21"/>
              </w:rPr>
              <w:t>优 A</w:t>
            </w:r>
          </w:p>
        </w:tc>
        <w:tc>
          <w:tcPr>
            <w:tcW w:w="1984" w:type="dxa"/>
            <w:tcBorders>
              <w:top w:val="single" w:color="auto" w:sz="4" w:space="0"/>
              <w:left w:val="single" w:color="auto" w:sz="4" w:space="0"/>
              <w:bottom w:val="single" w:color="auto" w:sz="4" w:space="0"/>
              <w:right w:val="single" w:color="auto" w:sz="4" w:space="0"/>
            </w:tcBorders>
          </w:tcPr>
          <w:p w14:paraId="5751CDA5">
            <w:pPr>
              <w:spacing w:before="156" w:beforeLines="50" w:after="156" w:afterLines="50"/>
              <w:ind w:firstLine="630" w:firstLineChars="300"/>
              <w:rPr>
                <w:rFonts w:ascii="宋体" w:hAnsi="宋体" w:eastAsia="宋体"/>
                <w:szCs w:val="21"/>
              </w:rPr>
            </w:pPr>
            <w:r>
              <w:rPr>
                <w:rFonts w:hint="eastAsia" w:ascii="宋体" w:hAnsi="宋体" w:eastAsia="宋体"/>
                <w:szCs w:val="21"/>
              </w:rPr>
              <w:t>20-25</w:t>
            </w:r>
          </w:p>
          <w:p w14:paraId="2012A180">
            <w:pPr>
              <w:spacing w:before="156" w:beforeLines="50" w:after="156" w:afterLines="50"/>
              <w:ind w:firstLine="630" w:firstLineChars="300"/>
              <w:rPr>
                <w:rFonts w:ascii="宋体" w:hAnsi="宋体" w:eastAsia="宋体"/>
                <w:szCs w:val="21"/>
              </w:rPr>
            </w:pPr>
            <w:r>
              <w:rPr>
                <w:rFonts w:hint="eastAsia" w:ascii="宋体" w:hAnsi="宋体" w:eastAsia="宋体"/>
                <w:szCs w:val="21"/>
              </w:rPr>
              <w:t>良 B</w:t>
            </w:r>
          </w:p>
        </w:tc>
        <w:tc>
          <w:tcPr>
            <w:tcW w:w="1843" w:type="dxa"/>
            <w:tcBorders>
              <w:top w:val="single" w:color="auto" w:sz="4" w:space="0"/>
              <w:left w:val="single" w:color="auto" w:sz="4" w:space="0"/>
              <w:bottom w:val="single" w:color="auto" w:sz="4" w:space="0"/>
              <w:right w:val="single" w:color="auto" w:sz="4" w:space="0"/>
            </w:tcBorders>
          </w:tcPr>
          <w:p w14:paraId="699539A2">
            <w:pPr>
              <w:spacing w:before="156" w:beforeLines="50" w:after="156" w:afterLines="50"/>
              <w:ind w:firstLine="210" w:firstLineChars="100"/>
              <w:rPr>
                <w:rFonts w:ascii="宋体" w:hAnsi="宋体" w:eastAsia="宋体"/>
                <w:szCs w:val="21"/>
              </w:rPr>
            </w:pPr>
            <w:r>
              <w:rPr>
                <w:rFonts w:hint="eastAsia" w:ascii="宋体" w:hAnsi="宋体" w:eastAsia="宋体"/>
                <w:szCs w:val="21"/>
              </w:rPr>
              <w:t xml:space="preserve">10-20 </w:t>
            </w:r>
          </w:p>
          <w:p w14:paraId="05CA6FB0">
            <w:pPr>
              <w:spacing w:before="156" w:beforeLines="50" w:after="156" w:afterLines="50"/>
              <w:ind w:firstLine="210" w:firstLineChars="100"/>
              <w:rPr>
                <w:rFonts w:ascii="宋体" w:hAnsi="宋体" w:eastAsia="宋体"/>
                <w:szCs w:val="21"/>
              </w:rPr>
            </w:pPr>
            <w:r>
              <w:rPr>
                <w:rFonts w:hint="eastAsia" w:ascii="宋体" w:hAnsi="宋体" w:eastAsia="宋体"/>
                <w:szCs w:val="21"/>
              </w:rPr>
              <w:t>中C</w:t>
            </w:r>
          </w:p>
        </w:tc>
        <w:tc>
          <w:tcPr>
            <w:tcW w:w="1779" w:type="dxa"/>
            <w:tcBorders>
              <w:top w:val="single" w:color="auto" w:sz="4" w:space="0"/>
              <w:left w:val="single" w:color="auto" w:sz="4" w:space="0"/>
              <w:bottom w:val="single" w:color="auto" w:sz="4" w:space="0"/>
              <w:right w:val="single" w:color="auto" w:sz="4" w:space="0"/>
            </w:tcBorders>
          </w:tcPr>
          <w:p w14:paraId="2B85A145">
            <w:pPr>
              <w:spacing w:before="156" w:beforeLines="50" w:after="156" w:afterLines="50"/>
              <w:ind w:firstLine="210" w:firstLineChars="100"/>
              <w:rPr>
                <w:rFonts w:ascii="宋体" w:hAnsi="宋体" w:eastAsia="宋体"/>
                <w:szCs w:val="21"/>
              </w:rPr>
            </w:pPr>
            <w:r>
              <w:rPr>
                <w:rFonts w:hint="eastAsia" w:ascii="宋体" w:hAnsi="宋体" w:eastAsia="宋体"/>
                <w:szCs w:val="21"/>
              </w:rPr>
              <w:t>8-10</w:t>
            </w:r>
          </w:p>
          <w:p w14:paraId="422B71A7">
            <w:pPr>
              <w:spacing w:before="156" w:beforeLines="50" w:after="156" w:afterLines="50"/>
              <w:ind w:firstLine="210" w:firstLineChars="100"/>
              <w:rPr>
                <w:rFonts w:ascii="宋体" w:hAnsi="宋体" w:eastAsia="宋体"/>
                <w:szCs w:val="21"/>
              </w:rPr>
            </w:pPr>
            <w:r>
              <w:rPr>
                <w:rFonts w:hint="eastAsia" w:ascii="宋体" w:hAnsi="宋体" w:eastAsia="宋体"/>
                <w:szCs w:val="21"/>
              </w:rPr>
              <w:t>合格 D</w:t>
            </w:r>
          </w:p>
        </w:tc>
        <w:tc>
          <w:tcPr>
            <w:tcW w:w="1779" w:type="dxa"/>
            <w:tcBorders>
              <w:top w:val="single" w:color="auto" w:sz="4" w:space="0"/>
              <w:left w:val="single" w:color="auto" w:sz="4" w:space="0"/>
              <w:bottom w:val="single" w:color="auto" w:sz="4" w:space="0"/>
              <w:right w:val="single" w:color="auto" w:sz="4" w:space="0"/>
            </w:tcBorders>
          </w:tcPr>
          <w:p w14:paraId="3DD25530">
            <w:pPr>
              <w:spacing w:before="156" w:beforeLines="50" w:after="156" w:afterLines="50"/>
              <w:rPr>
                <w:rFonts w:ascii="宋体" w:hAnsi="宋体" w:eastAsia="宋体"/>
                <w:szCs w:val="21"/>
              </w:rPr>
            </w:pPr>
            <w:r>
              <w:rPr>
                <w:rFonts w:hint="eastAsia" w:ascii="宋体" w:hAnsi="宋体" w:eastAsia="宋体"/>
                <w:szCs w:val="21"/>
              </w:rPr>
              <w:t>1-8</w:t>
            </w:r>
          </w:p>
          <w:p w14:paraId="17B3EEC9">
            <w:pPr>
              <w:spacing w:before="156" w:beforeLines="50" w:after="156" w:afterLines="50"/>
              <w:rPr>
                <w:rFonts w:ascii="宋体" w:hAnsi="宋体" w:eastAsia="宋体"/>
                <w:szCs w:val="21"/>
              </w:rPr>
            </w:pPr>
            <w:r>
              <w:rPr>
                <w:rFonts w:hint="eastAsia" w:ascii="宋体" w:hAnsi="宋体" w:eastAsia="宋体"/>
                <w:szCs w:val="21"/>
              </w:rPr>
              <w:t>不合格F</w:t>
            </w:r>
          </w:p>
        </w:tc>
      </w:tr>
      <w:bookmarkEnd w:id="4"/>
    </w:tbl>
    <w:p w14:paraId="22580F75">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NewRomanPSMT">
    <w:altName w:val="MS Gothic"/>
    <w:panose1 w:val="020B0604020202020204"/>
    <w:charset w:val="00"/>
    <w:family w:val="roman"/>
    <w:pitch w:val="default"/>
    <w:sig w:usb0="00000000" w:usb1="00000000"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4E2D96"/>
    <w:multiLevelType w:val="multilevel"/>
    <w:tmpl w:val="054E2D96"/>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BiNzEwZjEzZGEzOThjYzU3NzRjMGEzMTAyODI0YmUifQ=="/>
  </w:docVars>
  <w:rsids>
    <w:rsidRoot w:val="001E5724"/>
    <w:rsid w:val="00022CBB"/>
    <w:rsid w:val="00077A5F"/>
    <w:rsid w:val="00082E21"/>
    <w:rsid w:val="000A400B"/>
    <w:rsid w:val="000F054A"/>
    <w:rsid w:val="001C25D8"/>
    <w:rsid w:val="001E5724"/>
    <w:rsid w:val="00220EC8"/>
    <w:rsid w:val="00242673"/>
    <w:rsid w:val="00254AA7"/>
    <w:rsid w:val="00285327"/>
    <w:rsid w:val="002904DA"/>
    <w:rsid w:val="002A7568"/>
    <w:rsid w:val="002D05CF"/>
    <w:rsid w:val="00313A87"/>
    <w:rsid w:val="003206BD"/>
    <w:rsid w:val="00322986"/>
    <w:rsid w:val="0034254B"/>
    <w:rsid w:val="0038665C"/>
    <w:rsid w:val="00401675"/>
    <w:rsid w:val="004070CF"/>
    <w:rsid w:val="00443C38"/>
    <w:rsid w:val="00470FB4"/>
    <w:rsid w:val="005A0175"/>
    <w:rsid w:val="005A0378"/>
    <w:rsid w:val="005A6FCB"/>
    <w:rsid w:val="00612BFA"/>
    <w:rsid w:val="00665621"/>
    <w:rsid w:val="006C4B9F"/>
    <w:rsid w:val="006D367B"/>
    <w:rsid w:val="006E4F82"/>
    <w:rsid w:val="006F64C9"/>
    <w:rsid w:val="007639A2"/>
    <w:rsid w:val="007C379D"/>
    <w:rsid w:val="007C62ED"/>
    <w:rsid w:val="007E39E3"/>
    <w:rsid w:val="00804A1A"/>
    <w:rsid w:val="008128AD"/>
    <w:rsid w:val="008560E2"/>
    <w:rsid w:val="00886EBF"/>
    <w:rsid w:val="00972FA8"/>
    <w:rsid w:val="00974E8D"/>
    <w:rsid w:val="009D7163"/>
    <w:rsid w:val="00A03BBD"/>
    <w:rsid w:val="00A61EFD"/>
    <w:rsid w:val="00AA4570"/>
    <w:rsid w:val="00AA630A"/>
    <w:rsid w:val="00AC2CCA"/>
    <w:rsid w:val="00AE3D1A"/>
    <w:rsid w:val="00B03909"/>
    <w:rsid w:val="00B10760"/>
    <w:rsid w:val="00B40ECD"/>
    <w:rsid w:val="00B47312"/>
    <w:rsid w:val="00BA23F0"/>
    <w:rsid w:val="00C00798"/>
    <w:rsid w:val="00C21771"/>
    <w:rsid w:val="00C36A2C"/>
    <w:rsid w:val="00C54636"/>
    <w:rsid w:val="00CA53B2"/>
    <w:rsid w:val="00D02F99"/>
    <w:rsid w:val="00D13271"/>
    <w:rsid w:val="00D14471"/>
    <w:rsid w:val="00D330E1"/>
    <w:rsid w:val="00D417A1"/>
    <w:rsid w:val="00D504B7"/>
    <w:rsid w:val="00D65704"/>
    <w:rsid w:val="00D715F7"/>
    <w:rsid w:val="00DC036A"/>
    <w:rsid w:val="00DC40A0"/>
    <w:rsid w:val="00DD7B5F"/>
    <w:rsid w:val="00DE7849"/>
    <w:rsid w:val="00E05E8B"/>
    <w:rsid w:val="00E366AB"/>
    <w:rsid w:val="00E76E34"/>
    <w:rsid w:val="00ED7F81"/>
    <w:rsid w:val="00EE7CA6"/>
    <w:rsid w:val="00F26AA7"/>
    <w:rsid w:val="00F56396"/>
    <w:rsid w:val="00F8521C"/>
    <w:rsid w:val="00FB187D"/>
    <w:rsid w:val="00FB77A1"/>
    <w:rsid w:val="00FC24B5"/>
    <w:rsid w:val="00FF15D5"/>
    <w:rsid w:val="08FD248E"/>
    <w:rsid w:val="71E33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9"/>
    <w:qFormat/>
    <w:uiPriority w:val="99"/>
    <w:rPr>
      <w:rFonts w:ascii="宋体" w:hAnsi="Courier New" w:eastAsia="宋体" w:cs="Times New Roman"/>
      <w:szCs w:val="20"/>
    </w:rPr>
  </w:style>
  <w:style w:type="paragraph" w:styleId="3">
    <w:name w:val="Balloon Text"/>
    <w:basedOn w:val="1"/>
    <w:link w:val="12"/>
    <w:semiHidden/>
    <w:unhideWhenUsed/>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纯文本 字符"/>
    <w:basedOn w:val="8"/>
    <w:link w:val="2"/>
    <w:uiPriority w:val="99"/>
    <w:rPr>
      <w:rFonts w:ascii="宋体" w:hAnsi="Courier New" w:eastAsia="宋体" w:cs="Times New Roman"/>
      <w:szCs w:val="20"/>
    </w:rPr>
  </w:style>
  <w:style w:type="character" w:customStyle="1" w:styleId="10">
    <w:name w:val="页眉 字符"/>
    <w:basedOn w:val="8"/>
    <w:link w:val="5"/>
    <w:uiPriority w:val="99"/>
    <w:rPr>
      <w:sz w:val="18"/>
      <w:szCs w:val="18"/>
    </w:rPr>
  </w:style>
  <w:style w:type="character" w:customStyle="1" w:styleId="11">
    <w:name w:val="页脚 字符"/>
    <w:basedOn w:val="8"/>
    <w:link w:val="4"/>
    <w:uiPriority w:val="99"/>
    <w:rPr>
      <w:sz w:val="18"/>
      <w:szCs w:val="18"/>
    </w:rPr>
  </w:style>
  <w:style w:type="character" w:customStyle="1" w:styleId="12">
    <w:name w:val="批注框文本 字符"/>
    <w:basedOn w:val="8"/>
    <w:link w:val="3"/>
    <w:semiHidden/>
    <w:uiPriority w:val="99"/>
    <w:rPr>
      <w:sz w:val="18"/>
      <w:szCs w:val="18"/>
    </w:rPr>
  </w:style>
  <w:style w:type="paragraph" w:styleId="13">
    <w:name w:val="List Paragraph"/>
    <w:basedOn w:val="1"/>
    <w:qFormat/>
    <w:uiPriority w:val="34"/>
    <w:pPr>
      <w:ind w:firstLine="420" w:firstLineChars="200"/>
    </w:pPr>
  </w:style>
  <w:style w:type="paragraph" w:styleId="14">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6</Pages>
  <Words>2277</Words>
  <Characters>3115</Characters>
  <Lines>26</Lines>
  <Paragraphs>7</Paragraphs>
  <TotalTime>7</TotalTime>
  <ScaleCrop>false</ScaleCrop>
  <LinksUpToDate>false</LinksUpToDate>
  <CharactersWithSpaces>3428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2024-08-31T17:24:00Z</dcterms:created>
  <dc:creator>Windows User</dc:creator>
  <cp:lastModifiedBy>王一成</cp:lastModifiedBy>
  <cp:lastPrinted>2020-12-24T07:17:00Z</cp:lastPrinted>
  <dcterms:modified xsi:type="dcterms:W3CDTF">2024-09-02T00:26:37Z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C9B4F66DB3964D7EADFDE796F5CB1841_12</vt:lpwstr>
  </property>
</Properties>
</file>