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0CE4B">
      <w:pPr>
        <w:spacing w:before="156" w:beforeLines="50" w:after="156" w:afterLines="50"/>
        <w:jc w:val="center"/>
        <w:rPr>
          <w:rFonts w:ascii="黑体" w:hAnsi="黑体" w:eastAsia="黑体"/>
          <w:sz w:val="32"/>
          <w:szCs w:val="32"/>
        </w:rPr>
      </w:pPr>
      <w:r>
        <w:rPr>
          <w:rFonts w:hint="eastAsia" w:ascii="黑体" w:hAnsi="黑体" w:eastAsia="黑体"/>
          <w:sz w:val="32"/>
          <w:szCs w:val="32"/>
        </w:rPr>
        <w:t>《</w:t>
      </w:r>
      <w:r>
        <w:rPr>
          <w:rFonts w:hint="eastAsia" w:ascii="黑体" w:hAnsi="黑体" w:eastAsia="黑体"/>
          <w:sz w:val="32"/>
          <w:szCs w:val="32"/>
          <w:lang w:val="en-US" w:eastAsia="zh-CN"/>
        </w:rPr>
        <w:t>微观经济学</w:t>
      </w:r>
      <w:r>
        <w:rPr>
          <w:rFonts w:hint="eastAsia" w:ascii="黑体" w:hAnsi="黑体" w:eastAsia="黑体"/>
          <w:sz w:val="32"/>
          <w:szCs w:val="32"/>
        </w:rPr>
        <w:t>》课程教学大纲</w:t>
      </w:r>
    </w:p>
    <w:p w14:paraId="5036DC00">
      <w:pPr>
        <w:pStyle w:val="3"/>
        <w:spacing w:before="156" w:beforeLines="50" w:after="156" w:afterLines="50"/>
        <w:jc w:val="left"/>
        <w:rPr>
          <w:rFonts w:hAnsi="宋体" w:cs="宋体"/>
        </w:rPr>
      </w:pPr>
      <w:bookmarkStart w:id="0" w:name="_GoBack"/>
      <w:r>
        <w:rPr>
          <w:rFonts w:hint="eastAsia" w:ascii="黑体" w:hAnsi="黑体" w:eastAsia="黑体" w:cs="宋体"/>
          <w:b/>
          <w:sz w:val="28"/>
          <w:szCs w:val="28"/>
        </w:rPr>
        <w:t>一、课程基本信息</w:t>
      </w:r>
    </w:p>
    <w:bookmarkEnd w:id="0"/>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36320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A2D426">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78B1A213">
            <w:pPr>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Microeconomics</w:t>
            </w:r>
          </w:p>
        </w:tc>
        <w:tc>
          <w:tcPr>
            <w:tcW w:w="1134" w:type="dxa"/>
            <w:vAlign w:val="center"/>
          </w:tcPr>
          <w:p w14:paraId="51A39ECC">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0D0FE788">
            <w:pPr>
              <w:spacing w:before="156" w:beforeLines="50" w:after="156" w:afterLines="50"/>
              <w:jc w:val="center"/>
              <w:rPr>
                <w:rFonts w:hint="default" w:ascii="宋体" w:hAnsi="宋体" w:eastAsia="宋体"/>
                <w:lang w:val="en-US" w:eastAsia="zh-CN"/>
              </w:rPr>
            </w:pPr>
            <w:r>
              <w:rPr>
                <w:rFonts w:hint="default" w:ascii="Times New Roman" w:hAnsi="Times New Roman" w:eastAsia="宋体" w:cs="Times New Roman"/>
                <w:lang w:val="en-US" w:eastAsia="zh-CN"/>
              </w:rPr>
              <w:t>HURM2014</w:t>
            </w:r>
          </w:p>
        </w:tc>
      </w:tr>
      <w:tr w14:paraId="7B8B2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7C4EC2E">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18A567BF">
            <w:pPr>
              <w:spacing w:before="156" w:beforeLines="50" w:after="156" w:afterLines="50"/>
              <w:jc w:val="center"/>
              <w:rPr>
                <w:rFonts w:hint="default" w:ascii="宋体" w:hAnsi="宋体" w:eastAsia="宋体"/>
                <w:lang w:val="en-US" w:eastAsia="zh-CN"/>
              </w:rPr>
            </w:pPr>
            <w:r>
              <w:rPr>
                <w:rFonts w:hint="eastAsia" w:ascii="宋体" w:hAnsi="宋体" w:eastAsia="宋体" w:cs="宋体"/>
              </w:rPr>
              <w:t>大类基础课</w:t>
            </w:r>
          </w:p>
        </w:tc>
        <w:tc>
          <w:tcPr>
            <w:tcW w:w="1134" w:type="dxa"/>
            <w:vAlign w:val="center"/>
          </w:tcPr>
          <w:p w14:paraId="1C89C55C">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6C650C06">
            <w:pPr>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人力资源管理和物流管理专业本科生</w:t>
            </w:r>
          </w:p>
        </w:tc>
      </w:tr>
      <w:tr w14:paraId="6260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2428ED45">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51233BF8">
            <w:pPr>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c>
          <w:tcPr>
            <w:tcW w:w="1134" w:type="dxa"/>
            <w:vAlign w:val="center"/>
          </w:tcPr>
          <w:p w14:paraId="4FC07302">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2508EC5E">
            <w:pPr>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54</w:t>
            </w:r>
          </w:p>
        </w:tc>
      </w:tr>
      <w:tr w14:paraId="51C3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1038279">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6EB1242F">
            <w:pPr>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朱喜群 祝拥军</w:t>
            </w:r>
          </w:p>
        </w:tc>
        <w:tc>
          <w:tcPr>
            <w:tcW w:w="1134" w:type="dxa"/>
            <w:vAlign w:val="center"/>
          </w:tcPr>
          <w:p w14:paraId="1CC6232D">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784031D0">
            <w:pPr>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2024.8.28</w:t>
            </w:r>
          </w:p>
        </w:tc>
      </w:tr>
      <w:tr w14:paraId="60F45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C70492">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650737CB">
            <w:pPr>
              <w:spacing w:before="156" w:beforeLines="50" w:after="156" w:afterLines="50"/>
              <w:rPr>
                <w:rFonts w:ascii="宋体" w:hAnsi="宋体" w:eastAsia="宋体"/>
              </w:rPr>
            </w:pPr>
            <w:r>
              <w:rPr>
                <w:rFonts w:hint="eastAsia" w:ascii="宋体" w:hAnsi="宋体" w:eastAsia="宋体"/>
                <w:lang w:val="en-US" w:eastAsia="zh-CN"/>
              </w:rPr>
              <w:t>马工程教材 《西方经济学》（第二版上册），高等教育出版社，2019年第2版</w:t>
            </w:r>
          </w:p>
        </w:tc>
      </w:tr>
    </w:tbl>
    <w:p w14:paraId="17AEB187">
      <w:pPr>
        <w:pStyle w:val="3"/>
        <w:spacing w:before="156" w:beforeLines="50" w:after="156" w:afterLines="50"/>
        <w:rPr>
          <w:rFonts w:hAnsi="宋体" w:cs="宋体"/>
        </w:rPr>
      </w:pPr>
      <w:r>
        <w:rPr>
          <w:rFonts w:hint="eastAsia" w:ascii="黑体" w:hAnsi="黑体" w:eastAsia="黑体" w:cs="宋体"/>
          <w:b/>
          <w:sz w:val="28"/>
          <w:szCs w:val="28"/>
        </w:rPr>
        <w:t>二、课程目标</w:t>
      </w:r>
    </w:p>
    <w:p w14:paraId="23DD3620">
      <w:pPr>
        <w:pStyle w:val="3"/>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ind w:firstLine="480" w:firstLineChars="200"/>
        <w:textAlignment w:val="auto"/>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hint="eastAsia" w:hAnsi="宋体" w:cs="宋体"/>
          <w:szCs w:val="21"/>
        </w:rPr>
        <w:t>（小四号黑体）</w:t>
      </w:r>
    </w:p>
    <w:p w14:paraId="1003E86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eastAsia="宋体" w:cs="宋体"/>
          <w:kern w:val="2"/>
          <w:sz w:val="21"/>
          <w:szCs w:val="20"/>
          <w:lang w:val="en-US" w:eastAsia="zh-CN" w:bidi="ar-SA"/>
        </w:rPr>
      </w:pPr>
      <w:r>
        <w:rPr>
          <w:rFonts w:hint="eastAsia" w:ascii="宋体" w:hAnsi="宋体" w:eastAsia="宋体" w:cs="宋体"/>
          <w:kern w:val="2"/>
          <w:sz w:val="21"/>
          <w:szCs w:val="20"/>
          <w:lang w:val="en-US" w:eastAsia="zh-CN" w:bidi="ar-SA"/>
        </w:rPr>
        <w:t>微观经济学是管理类专业的学科基础课，旨在让经济与管理类的学生了解和掌握现代微观经济学的基本概念和理论，认识这一学科的基本构架和分析逻辑，掌握实例分析、简单的数学模型分析方法和技巧，培养学生经济思维能力，使学生能够运用经济学基本原理，观察、分析和解释现实生活中比较简单和典型的经济现象和问题，初步了解本学科最新发展，让学生具备良好的经济学理论基础和基本的经济分析能力，为学习其他专业课提供必要的知识和能力，为我国中国社会主义现代化建设服务。</w:t>
      </w:r>
    </w:p>
    <w:p w14:paraId="50E6B12C">
      <w:pPr>
        <w:pStyle w:val="3"/>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ind w:firstLine="480" w:firstLineChars="200"/>
        <w:textAlignment w:val="auto"/>
        <w:rPr>
          <w:rFonts w:hAnsi="宋体" w:cs="宋体"/>
        </w:rPr>
      </w:pPr>
      <w:r>
        <w:rPr>
          <w:rFonts w:hint="eastAsia" w:ascii="黑体" w:hAnsi="黑体" w:eastAsia="黑体" w:cs="宋体"/>
          <w:sz w:val="24"/>
          <w:szCs w:val="24"/>
        </w:rPr>
        <w:t>（二）课程目标：</w:t>
      </w:r>
      <w:r>
        <w:rPr>
          <w:rFonts w:hint="eastAsia" w:hAnsi="宋体" w:cs="宋体"/>
        </w:rPr>
        <w:t>（小四号黑体）</w:t>
      </w:r>
    </w:p>
    <w:p w14:paraId="3D27BEAD">
      <w:pPr>
        <w:pStyle w:val="3"/>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ind w:firstLine="420" w:firstLineChars="200"/>
        <w:textAlignment w:val="auto"/>
        <w:rPr>
          <w:rFonts w:hAnsi="宋体" w:cs="宋体"/>
        </w:rPr>
      </w:pPr>
      <w:r>
        <w:rPr>
          <w:rFonts w:hint="eastAsia" w:hAnsi="宋体" w:cs="宋体"/>
        </w:rPr>
        <w:t>（</w:t>
      </w:r>
      <w:r>
        <w:rPr>
          <w:rFonts w:hAnsi="宋体" w:cs="宋体"/>
        </w:rPr>
        <w:t>课程目标规定</w:t>
      </w:r>
      <w:r>
        <w:rPr>
          <w:rFonts w:hint="eastAsia" w:hAnsi="宋体" w:cs="宋体"/>
        </w:rPr>
        <w:t>某一阶段的学生通过课程学习以后，在发展德智体美劳</w:t>
      </w:r>
      <w:r>
        <w:rPr>
          <w:rFonts w:hAnsi="宋体" w:cs="宋体"/>
        </w:rPr>
        <w:t>等方面</w:t>
      </w:r>
      <w:r>
        <w:rPr>
          <w:rFonts w:hint="eastAsia" w:hAnsi="宋体" w:cs="宋体"/>
        </w:rPr>
        <w:t>期望实现的程度，它是确定课程内容、教学目标和教学方法的基础。）（五号宋体）</w:t>
      </w:r>
    </w:p>
    <w:p w14:paraId="38CAB695">
      <w:pPr>
        <w:pStyle w:val="3"/>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ind w:firstLine="422" w:firstLineChars="200"/>
        <w:textAlignment w:val="auto"/>
        <w:rPr>
          <w:rFonts w:hint="eastAsia" w:hAnsi="宋体" w:eastAsia="宋体" w:cs="宋体"/>
          <w:lang w:val="en-US" w:eastAsia="zh-CN"/>
        </w:rPr>
      </w:pPr>
      <w:r>
        <w:rPr>
          <w:rFonts w:hint="eastAsia" w:hAnsi="宋体" w:cs="宋体"/>
          <w:b/>
        </w:rPr>
        <w:t>课程目标1：</w:t>
      </w:r>
      <w:r>
        <w:rPr>
          <w:rFonts w:hint="eastAsia" w:hAnsi="宋体" w:cs="宋体"/>
          <w:lang w:val="en-US" w:eastAsia="zh-CN"/>
        </w:rPr>
        <w:t>掌握系统的微观经济学原理的基础知识，熟悉微观经济变量之间的关系，</w:t>
      </w:r>
      <w:r>
        <w:rPr>
          <w:rFonts w:hint="eastAsia" w:hAnsi="宋体" w:cs="宋体"/>
        </w:rPr>
        <w:t>能用经济学原理和知识用于概念化表达微观经济领域的问题</w:t>
      </w:r>
      <w:r>
        <w:rPr>
          <w:rFonts w:hint="eastAsia" w:hAnsi="宋体" w:cs="宋体"/>
          <w:lang w:eastAsia="zh-CN"/>
        </w:rPr>
        <w:t>，</w:t>
      </w:r>
      <w:r>
        <w:rPr>
          <w:rFonts w:hint="eastAsia" w:hAnsi="宋体" w:cs="宋体"/>
          <w:lang w:val="en-US" w:eastAsia="zh-CN"/>
        </w:rPr>
        <w:t>了解政府对微观经济行为激励和约束效应</w:t>
      </w:r>
      <w:r>
        <w:rPr>
          <w:rFonts w:hint="eastAsia" w:hAnsi="宋体" w:cs="宋体"/>
        </w:rPr>
        <w:t>（支撑毕业要求指标点 1-1）</w:t>
      </w:r>
      <w:r>
        <w:rPr>
          <w:rFonts w:hint="eastAsia" w:hAnsi="宋体" w:cs="宋体"/>
          <w:lang w:eastAsia="zh-CN"/>
        </w:rPr>
        <w:t>。</w:t>
      </w:r>
    </w:p>
    <w:p w14:paraId="60E80C88">
      <w:pPr>
        <w:pStyle w:val="3"/>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ind w:firstLine="422" w:firstLineChars="200"/>
        <w:textAlignment w:val="auto"/>
        <w:rPr>
          <w:rFonts w:hint="default" w:hAnsi="宋体" w:cs="宋体"/>
          <w:lang w:val="en-US" w:eastAsia="zh-CN"/>
        </w:rPr>
      </w:pPr>
      <w:r>
        <w:rPr>
          <w:rFonts w:hint="eastAsia" w:hAnsi="宋体" w:cs="宋体"/>
          <w:b/>
        </w:rPr>
        <w:t>课程目标2：</w:t>
      </w:r>
      <w:r>
        <w:rPr>
          <w:rFonts w:hint="eastAsia" w:hAnsi="宋体" w:cs="宋体"/>
          <w:lang w:val="en-US" w:eastAsia="zh-CN"/>
        </w:rPr>
        <w:t>熟悉经济学分析方法，运用所学微观经济学理论和方法探知现行经济运行规律的能力，预测微观经济因素变化可能带来的经济行为结果和对资源配置的影响，评价微观经济政策的影响，指导企业经济实践，</w:t>
      </w:r>
      <w:r>
        <w:rPr>
          <w:rFonts w:hint="eastAsia" w:ascii="宋体" w:hAnsi="宋体" w:eastAsia="宋体" w:cs="宋体"/>
          <w:sz w:val="21"/>
          <w:szCs w:val="21"/>
        </w:rPr>
        <w:t>发现人力资源管理、物流管理等管理领域出现的方法、效率、技术等问题。</w:t>
      </w:r>
      <w:r>
        <w:t>（支撑毕业要求指标点 1-</w:t>
      </w:r>
      <w:r>
        <w:rPr>
          <w:rFonts w:hint="eastAsia"/>
        </w:rPr>
        <w:t>2</w:t>
      </w:r>
      <w:r>
        <w:t>）</w:t>
      </w:r>
      <w:r>
        <w:rPr>
          <w:rFonts w:hint="eastAsia" w:hAnsi="宋体" w:cs="宋体"/>
          <w:lang w:val="en-US" w:eastAsia="zh-CN"/>
        </w:rPr>
        <w:t>。</w:t>
      </w:r>
    </w:p>
    <w:p w14:paraId="286D30C1">
      <w:pPr>
        <w:pStyle w:val="3"/>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ind w:firstLine="422" w:firstLineChars="200"/>
        <w:textAlignment w:val="auto"/>
        <w:rPr>
          <w:rFonts w:hint="eastAsia" w:hAnsi="宋体" w:eastAsia="宋体" w:cs="宋体"/>
          <w:b/>
          <w:lang w:val="en-US" w:eastAsia="zh-CN"/>
        </w:rPr>
      </w:pPr>
      <w:r>
        <w:rPr>
          <w:rFonts w:hint="eastAsia" w:hAnsi="宋体" w:cs="宋体"/>
          <w:b/>
        </w:rPr>
        <w:t>课程目标3：</w:t>
      </w:r>
      <w:r>
        <w:rPr>
          <w:rFonts w:hint="eastAsia" w:hAnsi="宋体" w:cs="宋体"/>
          <w:b/>
          <w:lang w:val="en-US" w:eastAsia="zh-CN"/>
        </w:rPr>
        <w:t>运用微观经济学原理知识和方法分析人力资源市场和物流市场，为后续课程打下坚实的基础</w:t>
      </w:r>
      <w:r>
        <w:t>（支撑毕业要求指标点 1-</w:t>
      </w:r>
      <w:r>
        <w:rPr>
          <w:rFonts w:hint="eastAsia"/>
        </w:rPr>
        <w:t>4</w:t>
      </w:r>
      <w:r>
        <w:t>）</w:t>
      </w:r>
      <w:r>
        <w:rPr>
          <w:rFonts w:hint="eastAsia"/>
          <w:lang w:eastAsia="zh-CN"/>
        </w:rPr>
        <w:t>。</w:t>
      </w:r>
    </w:p>
    <w:p w14:paraId="043E0459">
      <w:pPr>
        <w:pStyle w:val="3"/>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14:paraId="5A397EEE">
      <w:pPr>
        <w:pStyle w:val="3"/>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7"/>
        <w:tblW w:w="7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4210"/>
        <w:gridCol w:w="1596"/>
      </w:tblGrid>
      <w:tr w14:paraId="6CAC3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6AC75DEE">
            <w:pPr>
              <w:pStyle w:val="3"/>
              <w:spacing w:before="156" w:beforeLines="50" w:after="156" w:afterLines="50"/>
              <w:jc w:val="center"/>
              <w:rPr>
                <w:rFonts w:ascii="黑体" w:hAnsi="宋体"/>
                <w:b/>
                <w:bCs/>
                <w:szCs w:val="21"/>
              </w:rPr>
            </w:pPr>
            <w:r>
              <w:rPr>
                <w:rFonts w:hint="eastAsia" w:ascii="黑体" w:hAnsi="宋体"/>
                <w:b/>
                <w:bCs/>
                <w:szCs w:val="21"/>
              </w:rPr>
              <w:t>课程目标</w:t>
            </w:r>
          </w:p>
        </w:tc>
        <w:tc>
          <w:tcPr>
            <w:tcW w:w="4210" w:type="dxa"/>
            <w:tcBorders>
              <w:bottom w:val="single" w:color="auto" w:sz="4" w:space="0"/>
            </w:tcBorders>
            <w:vAlign w:val="center"/>
          </w:tcPr>
          <w:p w14:paraId="1AAC1BB0">
            <w:pPr>
              <w:pStyle w:val="3"/>
              <w:spacing w:before="156" w:beforeLines="50" w:after="156" w:afterLines="50"/>
              <w:jc w:val="center"/>
              <w:rPr>
                <w:rFonts w:ascii="黑体" w:hAnsi="宋体"/>
                <w:b/>
                <w:bCs/>
                <w:szCs w:val="21"/>
              </w:rPr>
            </w:pPr>
            <w:r>
              <w:rPr>
                <w:rFonts w:hint="eastAsia" w:ascii="黑体" w:hAnsi="宋体"/>
                <w:b/>
                <w:bCs/>
                <w:szCs w:val="21"/>
              </w:rPr>
              <w:t>对应课程内容</w:t>
            </w:r>
          </w:p>
        </w:tc>
        <w:tc>
          <w:tcPr>
            <w:tcW w:w="1596" w:type="dxa"/>
            <w:vAlign w:val="center"/>
          </w:tcPr>
          <w:p w14:paraId="57AEEC4D">
            <w:pPr>
              <w:pStyle w:val="3"/>
              <w:spacing w:before="156" w:beforeLines="50" w:after="156" w:afterLines="50"/>
              <w:jc w:val="center"/>
              <w:rPr>
                <w:rFonts w:ascii="黑体" w:hAnsi="宋体"/>
                <w:b/>
                <w:bCs/>
                <w:szCs w:val="21"/>
              </w:rPr>
            </w:pPr>
            <w:r>
              <w:rPr>
                <w:rFonts w:hint="eastAsia" w:ascii="黑体" w:hAnsi="宋体"/>
                <w:b/>
                <w:bCs/>
                <w:szCs w:val="21"/>
              </w:rPr>
              <w:t>对应毕业要求</w:t>
            </w:r>
          </w:p>
        </w:tc>
      </w:tr>
      <w:tr w14:paraId="66EEA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1302" w:type="dxa"/>
            <w:tcBorders>
              <w:right w:val="single" w:color="auto" w:sz="4" w:space="0"/>
            </w:tcBorders>
            <w:vAlign w:val="center"/>
          </w:tcPr>
          <w:p w14:paraId="26B12DAB">
            <w:pPr>
              <w:pStyle w:val="3"/>
              <w:spacing w:before="156" w:beforeLines="50" w:after="156" w:afterLines="50"/>
              <w:jc w:val="center"/>
              <w:rPr>
                <w:rFonts w:hAnsi="宋体" w:cs="宋体"/>
                <w:szCs w:val="21"/>
              </w:rPr>
            </w:pPr>
            <w:r>
              <w:rPr>
                <w:rFonts w:hint="eastAsia" w:hAnsi="宋体" w:cs="宋体"/>
                <w:szCs w:val="21"/>
              </w:rPr>
              <w:t>课程目标1</w:t>
            </w:r>
          </w:p>
        </w:tc>
        <w:tc>
          <w:tcPr>
            <w:tcW w:w="4210" w:type="dxa"/>
            <w:tcBorders>
              <w:top w:val="single" w:color="auto" w:sz="4" w:space="0"/>
              <w:left w:val="single" w:color="auto" w:sz="4" w:space="0"/>
              <w:right w:val="single" w:color="auto" w:sz="4" w:space="0"/>
            </w:tcBorders>
            <w:vAlign w:val="center"/>
          </w:tcPr>
          <w:p w14:paraId="7065B9D0">
            <w:pPr>
              <w:pStyle w:val="3"/>
              <w:spacing w:before="156" w:beforeLines="50" w:after="156" w:afterLines="50"/>
              <w:jc w:val="center"/>
              <w:rPr>
                <w:rFonts w:hint="default" w:hAnsi="宋体" w:eastAsia="宋体" w:cs="宋体"/>
                <w:lang w:val="en-US" w:eastAsia="zh-CN"/>
              </w:rPr>
            </w:pPr>
            <w:r>
              <w:rPr>
                <w:rFonts w:hint="eastAsia" w:hAnsi="宋体" w:cs="宋体"/>
                <w:lang w:val="en-US" w:eastAsia="zh-CN"/>
              </w:rPr>
              <w:t>导论 需求供给与均衡价格 消费者选择</w:t>
            </w:r>
          </w:p>
        </w:tc>
        <w:tc>
          <w:tcPr>
            <w:tcW w:w="1596" w:type="dxa"/>
            <w:tcBorders>
              <w:left w:val="single" w:color="auto" w:sz="4" w:space="0"/>
            </w:tcBorders>
            <w:vAlign w:val="center"/>
          </w:tcPr>
          <w:p w14:paraId="099652AF">
            <w:pPr>
              <w:pStyle w:val="3"/>
              <w:spacing w:before="156" w:beforeLines="50" w:after="156" w:afterLines="50"/>
              <w:jc w:val="center"/>
              <w:rPr>
                <w:rFonts w:hint="default" w:hAnsi="宋体" w:eastAsia="宋体" w:cs="宋体"/>
                <w:lang w:val="en-US" w:eastAsia="zh-CN"/>
              </w:rPr>
            </w:pPr>
            <w:r>
              <w:rPr>
                <w:rFonts w:hint="eastAsia" w:hAnsi="宋体" w:cs="宋体"/>
                <w:lang w:val="en-US" w:eastAsia="zh-CN"/>
              </w:rPr>
              <w:t>1-1</w:t>
            </w:r>
          </w:p>
        </w:tc>
      </w:tr>
      <w:tr w14:paraId="08A86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302" w:type="dxa"/>
            <w:vAlign w:val="center"/>
          </w:tcPr>
          <w:p w14:paraId="1E49F610">
            <w:pPr>
              <w:pStyle w:val="3"/>
              <w:spacing w:before="156" w:beforeLines="50" w:after="156" w:afterLines="50"/>
              <w:jc w:val="center"/>
              <w:rPr>
                <w:rFonts w:hAnsi="宋体" w:cs="宋体"/>
                <w:szCs w:val="21"/>
              </w:rPr>
            </w:pPr>
            <w:r>
              <w:rPr>
                <w:rFonts w:hint="eastAsia" w:hAnsi="宋体" w:cs="宋体"/>
                <w:szCs w:val="21"/>
              </w:rPr>
              <w:t>课程目标2</w:t>
            </w:r>
          </w:p>
        </w:tc>
        <w:tc>
          <w:tcPr>
            <w:tcW w:w="4210" w:type="dxa"/>
            <w:tcBorders>
              <w:top w:val="single" w:color="auto" w:sz="4" w:space="0"/>
            </w:tcBorders>
            <w:vAlign w:val="center"/>
          </w:tcPr>
          <w:p w14:paraId="1AB21B48">
            <w:pPr>
              <w:pStyle w:val="3"/>
              <w:spacing w:before="156" w:beforeLines="50" w:after="156" w:afterLines="50"/>
              <w:jc w:val="center"/>
              <w:rPr>
                <w:rFonts w:hint="default" w:hAnsi="宋体" w:eastAsia="宋体" w:cs="宋体"/>
                <w:lang w:val="en-US" w:eastAsia="zh-CN"/>
              </w:rPr>
            </w:pPr>
            <w:r>
              <w:rPr>
                <w:rFonts w:hint="eastAsia" w:hAnsi="宋体" w:cs="宋体"/>
                <w:lang w:val="en-US" w:eastAsia="zh-CN"/>
              </w:rPr>
              <w:t>企业的生产与成本 完全竞争市场的价格与产量决定 生产要素市场与收入分配 一般均衡与效率</w:t>
            </w:r>
          </w:p>
        </w:tc>
        <w:tc>
          <w:tcPr>
            <w:tcW w:w="1596" w:type="dxa"/>
            <w:vAlign w:val="center"/>
          </w:tcPr>
          <w:p w14:paraId="3DCD50FA">
            <w:pPr>
              <w:pStyle w:val="3"/>
              <w:spacing w:before="156" w:beforeLines="50" w:after="156" w:afterLines="50"/>
              <w:jc w:val="center"/>
              <w:rPr>
                <w:rFonts w:hint="default" w:hAnsi="宋体" w:eastAsia="宋体" w:cs="宋体"/>
                <w:lang w:val="en-US" w:eastAsia="zh-CN"/>
              </w:rPr>
            </w:pPr>
            <w:r>
              <w:rPr>
                <w:rFonts w:hint="eastAsia" w:hAnsi="宋体" w:cs="宋体"/>
                <w:lang w:val="en-US" w:eastAsia="zh-CN"/>
              </w:rPr>
              <w:t>1-2</w:t>
            </w:r>
          </w:p>
        </w:tc>
      </w:tr>
      <w:tr w14:paraId="0C854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79410C1F">
            <w:pPr>
              <w:pStyle w:val="3"/>
              <w:spacing w:before="156" w:beforeLines="50" w:after="156" w:afterLines="50"/>
              <w:jc w:val="center"/>
              <w:rPr>
                <w:rFonts w:hAnsi="宋体" w:cs="宋体"/>
                <w:szCs w:val="21"/>
              </w:rPr>
            </w:pPr>
            <w:r>
              <w:rPr>
                <w:rFonts w:hint="eastAsia" w:hAnsi="宋体" w:cs="宋体"/>
                <w:szCs w:val="21"/>
              </w:rPr>
              <w:t>课程目标3</w:t>
            </w:r>
          </w:p>
        </w:tc>
        <w:tc>
          <w:tcPr>
            <w:tcW w:w="4210" w:type="dxa"/>
            <w:vAlign w:val="center"/>
          </w:tcPr>
          <w:p w14:paraId="3DC01ADF">
            <w:pPr>
              <w:pStyle w:val="3"/>
              <w:spacing w:before="156" w:beforeLines="50" w:after="156" w:afterLines="50"/>
              <w:jc w:val="center"/>
              <w:rPr>
                <w:rFonts w:hint="default" w:ascii="黑体" w:hAnsi="宋体" w:eastAsia="宋体"/>
                <w:b/>
                <w:bCs/>
                <w:szCs w:val="21"/>
                <w:lang w:val="en-US" w:eastAsia="zh-CN"/>
              </w:rPr>
            </w:pPr>
            <w:r>
              <w:rPr>
                <w:rFonts w:hint="eastAsia" w:hAnsi="宋体" w:cs="宋体"/>
                <w:lang w:val="en-US" w:eastAsia="zh-CN"/>
              </w:rPr>
              <w:t>不完全竞争市场的价格与产量决定 市场失灵与微观经济政策</w:t>
            </w:r>
          </w:p>
        </w:tc>
        <w:tc>
          <w:tcPr>
            <w:tcW w:w="1596" w:type="dxa"/>
            <w:vAlign w:val="center"/>
          </w:tcPr>
          <w:p w14:paraId="0DD3AC4A">
            <w:pPr>
              <w:pStyle w:val="3"/>
              <w:spacing w:before="156" w:beforeLines="50" w:after="156" w:afterLines="50"/>
              <w:jc w:val="center"/>
              <w:rPr>
                <w:rFonts w:hint="default" w:hAnsi="宋体" w:eastAsia="宋体" w:cs="宋体"/>
                <w:lang w:val="en-US" w:eastAsia="zh-CN"/>
              </w:rPr>
            </w:pPr>
            <w:r>
              <w:rPr>
                <w:rFonts w:hint="eastAsia" w:hAnsi="宋体" w:cs="宋体"/>
                <w:lang w:val="en-US" w:eastAsia="zh-CN"/>
              </w:rPr>
              <w:t>1-4</w:t>
            </w:r>
          </w:p>
        </w:tc>
      </w:tr>
    </w:tbl>
    <w:p w14:paraId="55B8F966">
      <w:pPr>
        <w:spacing w:before="156" w:beforeLines="50" w:after="156" w:afterLines="50"/>
        <w:rPr>
          <w:rFonts w:ascii="黑体" w:hAnsi="黑体" w:eastAsia="黑体"/>
          <w:b/>
          <w:sz w:val="28"/>
          <w:szCs w:val="28"/>
        </w:rPr>
      </w:pPr>
      <w:r>
        <w:rPr>
          <w:rFonts w:hint="eastAsia" w:ascii="黑体" w:hAnsi="黑体" w:eastAsia="黑体"/>
          <w:b/>
          <w:sz w:val="28"/>
          <w:szCs w:val="28"/>
        </w:rPr>
        <w:t>三、教学内容</w:t>
      </w:r>
    </w:p>
    <w:p w14:paraId="2CED9334">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both"/>
        <w:textAlignment w:val="auto"/>
        <w:rPr>
          <w:rFonts w:ascii="微软雅黑" w:hAnsi="微软雅黑"/>
          <w:sz w:val="21"/>
          <w:szCs w:val="21"/>
        </w:rPr>
      </w:pPr>
      <w:r>
        <w:rPr>
          <w:rFonts w:hint="eastAsia" w:ascii="黑体" w:hAnsi="黑体" w:eastAsia="黑体"/>
          <w:b/>
          <w:sz w:val="24"/>
          <w:szCs w:val="24"/>
        </w:rPr>
        <w:t>导论</w:t>
      </w:r>
      <w:r>
        <w:t>（</w:t>
      </w:r>
      <w:r>
        <w:rPr>
          <w:rFonts w:hint="eastAsia" w:ascii="黑体" w:hAnsi="黑体" w:eastAsia="黑体"/>
          <w:b w:val="0"/>
          <w:bCs/>
          <w:sz w:val="21"/>
          <w:szCs w:val="21"/>
        </w:rPr>
        <w:t>支撑课程目标 1）</w:t>
      </w:r>
    </w:p>
    <w:p w14:paraId="74D8EE1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1.教学目标</w:t>
      </w:r>
    </w:p>
    <w:p w14:paraId="0580B72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jc w:val="both"/>
        <w:textAlignment w:val="auto"/>
        <w:rPr>
          <w:rFonts w:hint="eastAsia" w:ascii="宋体" w:hAnsi="宋体" w:eastAsia="宋体" w:cs="宋体"/>
          <w:sz w:val="21"/>
          <w:szCs w:val="21"/>
        </w:rPr>
      </w:pPr>
      <w:r>
        <w:rPr>
          <w:rFonts w:hint="eastAsia" w:ascii="宋体" w:hAnsi="宋体" w:eastAsia="宋体" w:cs="宋体"/>
          <w:sz w:val="21"/>
          <w:szCs w:val="21"/>
        </w:rPr>
        <w:t>本章简要介绍西方经济学的产生和发展，重点分析西方经济学尤其是微观经济学的研究对象。学习本章重点掌握经济学定义的三个方面：稀缺性、选择性和机会成本的含义，知道西方经济学及微观经济学是研究什么的科学。</w:t>
      </w:r>
    </w:p>
    <w:p w14:paraId="301EB322">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jc w:val="both"/>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2.教学内容</w:t>
      </w:r>
    </w:p>
    <w:p w14:paraId="79E6165E">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（1） 什么是西方经济学：西方经济学是适应市场经济发展的需要而产生的经济学说。由于市场经济最初出现在西方资本主义国家，适应市场经济发展需要的经济学说也就自然而然地在西方资本主义国家中产生与发展起来了，因此我们通常把这种学说称为西方经济学。</w:t>
      </w:r>
    </w:p>
    <w:p w14:paraId="648D4700">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both"/>
        <w:textAlignment w:val="auto"/>
        <w:rPr>
          <w:rFonts w:hint="eastAsia" w:ascii="宋体" w:hAnsi="宋体" w:eastAsia="宋体" w:cs="宋体"/>
          <w:sz w:val="21"/>
          <w:szCs w:val="21"/>
        </w:rPr>
      </w:pPr>
      <w:r>
        <w:rPr>
          <w:rFonts w:hint="eastAsia" w:ascii="宋体" w:hAnsi="宋体" w:eastAsia="宋体" w:cs="宋体"/>
          <w:sz w:val="21"/>
          <w:szCs w:val="21"/>
        </w:rPr>
        <w:t>（2）关于经济学的定义</w:t>
      </w:r>
    </w:p>
    <w:p w14:paraId="2F7B543B">
      <w:pPr>
        <w:pStyle w:val="2"/>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经济学是研究各种稀缺资源在可供选择的用途上进行配置的科学。由于人们的欲望是无穷的，而用于生产要素是有限的，因此，人们必须做出选择，确定有限的资源用于何种物品的生产，满足人们何种需要。机会成本和生产可能性边界的概念。</w:t>
      </w:r>
    </w:p>
    <w:p w14:paraId="0C70457A">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both"/>
        <w:textAlignment w:val="auto"/>
        <w:rPr>
          <w:rFonts w:hint="eastAsia" w:ascii="宋体" w:hAnsi="宋体" w:eastAsia="宋体" w:cs="宋体"/>
          <w:sz w:val="21"/>
          <w:szCs w:val="21"/>
        </w:rPr>
      </w:pPr>
      <w:r>
        <w:rPr>
          <w:rFonts w:hint="eastAsia" w:ascii="宋体" w:hAnsi="宋体" w:eastAsia="宋体" w:cs="宋体"/>
          <w:sz w:val="21"/>
          <w:szCs w:val="21"/>
        </w:rPr>
        <w:t>（3）西方经济学的基本假定</w:t>
      </w:r>
    </w:p>
    <w:p w14:paraId="2205F4F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西方经济学的基本假定是理性人假定、产权明确、完全信息和经济主体的利益最大化。</w:t>
      </w:r>
    </w:p>
    <w:p w14:paraId="53ECA92F">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both"/>
        <w:textAlignment w:val="auto"/>
        <w:rPr>
          <w:rFonts w:hint="eastAsia" w:ascii="宋体" w:hAnsi="宋体" w:eastAsia="宋体" w:cs="宋体"/>
          <w:sz w:val="21"/>
          <w:szCs w:val="21"/>
        </w:rPr>
      </w:pPr>
      <w:r>
        <w:rPr>
          <w:rFonts w:hint="eastAsia" w:ascii="宋体" w:hAnsi="宋体" w:eastAsia="宋体" w:cs="宋体"/>
          <w:sz w:val="21"/>
          <w:szCs w:val="21"/>
        </w:rPr>
        <w:t>（4）西方经济学的研究方法</w:t>
      </w:r>
    </w:p>
    <w:p w14:paraId="141E0C14">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均衡分析、个量分析与总量分析；静态分析与动态分析、实证分析与规范分析、</w:t>
      </w:r>
    </w:p>
    <w:p w14:paraId="5C4A9406">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ascii="微软雅黑" w:hAnsi="微软雅黑"/>
          <w:sz w:val="21"/>
          <w:szCs w:val="21"/>
        </w:rPr>
      </w:pPr>
      <w:r>
        <w:rPr>
          <w:rFonts w:hint="eastAsia" w:ascii="宋体" w:hAnsi="宋体" w:eastAsia="宋体" w:cs="宋体"/>
          <w:sz w:val="21"/>
          <w:szCs w:val="21"/>
        </w:rPr>
        <w:t>经济模型、经济量分为常量与变量、内生变量与外生变量、存量与流量</w:t>
      </w:r>
      <w:r>
        <w:rPr>
          <w:rFonts w:hint="eastAsia" w:ascii="微软雅黑" w:hAnsi="微软雅黑"/>
          <w:sz w:val="21"/>
          <w:szCs w:val="21"/>
        </w:rPr>
        <w:t>。</w:t>
      </w:r>
    </w:p>
    <w:p w14:paraId="228AD97E">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400" w:lineRule="exact"/>
        <w:ind w:firstLine="482" w:firstLineChars="200"/>
        <w:jc w:val="both"/>
        <w:textAlignment w:val="auto"/>
        <w:rPr>
          <w:rFonts w:hint="eastAsia" w:ascii="黑体" w:hAnsi="黑体" w:eastAsia="黑体"/>
          <w:b/>
          <w:sz w:val="21"/>
          <w:szCs w:val="21"/>
        </w:rPr>
      </w:pPr>
      <w:r>
        <w:rPr>
          <w:rFonts w:hint="eastAsia" w:ascii="黑体" w:hAnsi="黑体" w:eastAsia="黑体"/>
          <w:b/>
          <w:sz w:val="24"/>
          <w:szCs w:val="24"/>
        </w:rPr>
        <w:t>需求供给与均衡价格</w:t>
      </w:r>
      <w:r>
        <w:rPr>
          <w:rFonts w:hint="eastAsia" w:ascii="黑体" w:hAnsi="黑体" w:eastAsia="黑体"/>
          <w:b/>
          <w:sz w:val="21"/>
          <w:szCs w:val="21"/>
        </w:rPr>
        <w:t>（支撑课程目标 1）</w:t>
      </w:r>
    </w:p>
    <w:p w14:paraId="13CFAC6A">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420" w:leftChars="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1.教学目标</w:t>
      </w:r>
    </w:p>
    <w:p w14:paraId="60B445BE">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章是微观经济学的基础，通过本章的教学，学生必须熟练掌握与需求、供给、市场均衡等相关的概念和理论，正确理解需求量和需求的变动、供给量和供给变动的关系，熟知弹性概念和计算公式，具备分析均衡价格形成和变动、运用弹性理论分析现实经济问题的能力。</w:t>
      </w:r>
    </w:p>
    <w:p w14:paraId="087E2CC7">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420" w:leftChars="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2.教学内容</w:t>
      </w:r>
    </w:p>
    <w:p w14:paraId="2CEA376D">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（1）需求与影响需求的因素、需求规律与替代效应、收入效应、区分需求量的变动与需求的变动。</w:t>
      </w:r>
    </w:p>
    <w:p w14:paraId="7AE0D7DF">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（2）供给和影响供给的因素、供给函数、供给表与供给曲线、供给的变化与供给曲线的移动。</w:t>
      </w:r>
    </w:p>
    <w:p w14:paraId="5EFDDBDE">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（3）需求弹性与供给弹性。需求的交叉弹性、需求的收入弹性、供给的价格弹性。</w:t>
      </w:r>
    </w:p>
    <w:p w14:paraId="26F39C1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（4）市场均衡价格与均衡产量的决定</w:t>
      </w:r>
    </w:p>
    <w:p w14:paraId="0C58319C">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政府干预与市场均衡：支持价格与限制价格</w:t>
      </w:r>
    </w:p>
    <w:p w14:paraId="1210D92E">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（5）蛛网理论；蛛网模型的类型、研究蛛网模型的现实意义</w:t>
      </w:r>
    </w:p>
    <w:p w14:paraId="77EA4A69">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482" w:firstLineChars="200"/>
        <w:jc w:val="both"/>
        <w:textAlignment w:val="auto"/>
        <w:rPr>
          <w:rFonts w:hint="eastAsia" w:ascii="黑体" w:hAnsi="黑体" w:eastAsia="黑体"/>
          <w:b/>
          <w:sz w:val="21"/>
          <w:szCs w:val="21"/>
        </w:rPr>
      </w:pPr>
      <w:r>
        <w:rPr>
          <w:rFonts w:hint="eastAsia" w:ascii="黑体" w:hAnsi="黑体" w:eastAsia="黑体"/>
          <w:b/>
          <w:sz w:val="24"/>
          <w:szCs w:val="24"/>
        </w:rPr>
        <w:t>第二章 消费者选择</w:t>
      </w:r>
      <w:r>
        <w:rPr>
          <w:rFonts w:hint="eastAsia" w:ascii="黑体" w:hAnsi="黑体" w:eastAsia="黑体"/>
          <w:b/>
          <w:sz w:val="21"/>
          <w:szCs w:val="21"/>
        </w:rPr>
        <w:t>（支撑课程目标 1）</w:t>
      </w:r>
    </w:p>
    <w:p w14:paraId="55A12E9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eastAsia" w:ascii="微软雅黑" w:hAnsi="微软雅黑"/>
          <w:sz w:val="21"/>
          <w:szCs w:val="21"/>
          <w:lang w:val="en-US" w:eastAsia="zh-CN"/>
        </w:rPr>
      </w:pPr>
      <w:r>
        <w:rPr>
          <w:rFonts w:hint="eastAsia" w:ascii="微软雅黑" w:hAnsi="微软雅黑"/>
          <w:sz w:val="21"/>
          <w:szCs w:val="21"/>
          <w:lang w:val="en-US" w:eastAsia="zh-CN"/>
        </w:rPr>
        <w:t>1.</w:t>
      </w:r>
      <w:r>
        <w:rPr>
          <w:rFonts w:hint="eastAsia" w:ascii="宋体" w:hAnsi="宋体" w:eastAsia="宋体" w:cs="宋体"/>
          <w:sz w:val="21"/>
          <w:szCs w:val="21"/>
          <w:lang w:val="en-US" w:eastAsia="zh-CN"/>
        </w:rPr>
        <w:t>教学目标</w:t>
      </w:r>
    </w:p>
    <w:p w14:paraId="7D011ABE">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章以分析方法的不同将消费者行为理论分为基数效用论和序数效用论。基数效用论用边际分析法边际效用和总效用的关系，说明消费者在预算约束下，通过选择实现收入资源的合理配置，达到满足程度最大化。序数效用论以无差异曲线和预算线作为分析工具，说明消费者最优选择的条件，在此基础上，分析消费是如何随价格和收入的变化而变化的。学习本章首先明确效用理论分析的前提假设，正确理解和把握有关效用的基本概念和数学表达及衡量，知道消费者消费的约束条件，能分析说明消费者如何实现满足程度最大化，理解消费者剩余的含义和意义，了解价格、收入变化对消费者选择的影响。</w:t>
      </w:r>
    </w:p>
    <w:p w14:paraId="2C22608A">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2.教学内容</w:t>
      </w:r>
    </w:p>
    <w:p w14:paraId="4ABE589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（1）基数效用与序数效用论； 效用、总效用和边际效用</w:t>
      </w:r>
    </w:p>
    <w:p w14:paraId="63286B7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（2）边际效用递减规律</w:t>
      </w:r>
    </w:p>
    <w:p w14:paraId="496A5F9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（3）消费者均衡</w:t>
      </w:r>
    </w:p>
    <w:p w14:paraId="1AB2976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（4）需求规律与边际效用递减规律</w:t>
      </w:r>
    </w:p>
    <w:p w14:paraId="1F2715C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（5）消费者剩余</w:t>
      </w:r>
    </w:p>
    <w:p w14:paraId="3BFEC6F0">
      <w:pPr>
        <w:pStyle w:val="15"/>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lef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w:t>
      </w:r>
      <w:r>
        <w:rPr>
          <w:rFonts w:hint="eastAsia" w:ascii="宋体" w:hAnsi="宋体" w:eastAsia="宋体" w:cs="宋体"/>
          <w:sz w:val="21"/>
          <w:szCs w:val="21"/>
        </w:rPr>
        <w:t>无差异曲线的涵义和特点</w:t>
      </w:r>
    </w:p>
    <w:p w14:paraId="498417B9">
      <w:pPr>
        <w:keepNext w:val="0"/>
        <w:keepLines w:val="0"/>
        <w:pageBreakBefore w:val="0"/>
        <w:widowControl w:val="0"/>
        <w:kinsoku/>
        <w:wordWrap/>
        <w:overflowPunct/>
        <w:topLinePunct w:val="0"/>
        <w:autoSpaceDE/>
        <w:autoSpaceDN/>
        <w:bidi w:val="0"/>
        <w:adjustRightInd/>
        <w:snapToGrid/>
        <w:spacing w:after="0" w:line="400" w:lineRule="exact"/>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7</w:t>
      </w:r>
      <w:r>
        <w:rPr>
          <w:rFonts w:hint="eastAsia" w:ascii="宋体" w:hAnsi="宋体" w:eastAsia="宋体" w:cs="宋体"/>
          <w:sz w:val="21"/>
          <w:szCs w:val="21"/>
        </w:rPr>
        <w:t>）预算线</w:t>
      </w:r>
    </w:p>
    <w:p w14:paraId="7555382D">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lef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8</w:t>
      </w:r>
      <w:r>
        <w:rPr>
          <w:rFonts w:hint="eastAsia" w:ascii="宋体" w:hAnsi="宋体" w:eastAsia="宋体" w:cs="宋体"/>
          <w:sz w:val="21"/>
          <w:szCs w:val="21"/>
          <w:lang w:eastAsia="zh-CN"/>
        </w:rPr>
        <w:t>）</w:t>
      </w:r>
      <w:r>
        <w:rPr>
          <w:rFonts w:hint="eastAsia" w:ascii="宋体" w:hAnsi="宋体" w:eastAsia="宋体" w:cs="宋体"/>
          <w:sz w:val="21"/>
          <w:szCs w:val="21"/>
        </w:rPr>
        <w:t>消费者均衡</w:t>
      </w:r>
    </w:p>
    <w:p w14:paraId="23061644">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lef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9</w:t>
      </w:r>
      <w:r>
        <w:rPr>
          <w:rFonts w:hint="eastAsia" w:ascii="宋体" w:hAnsi="宋体" w:eastAsia="宋体" w:cs="宋体"/>
          <w:sz w:val="21"/>
          <w:szCs w:val="21"/>
          <w:lang w:eastAsia="zh-CN"/>
        </w:rPr>
        <w:t>）</w:t>
      </w:r>
      <w:r>
        <w:rPr>
          <w:rFonts w:hint="eastAsia" w:ascii="宋体" w:hAnsi="宋体" w:eastAsia="宋体" w:cs="宋体"/>
          <w:sz w:val="21"/>
          <w:szCs w:val="21"/>
        </w:rPr>
        <w:t>替代效应与收入效应</w:t>
      </w:r>
    </w:p>
    <w:p w14:paraId="3AF9EB06">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482" w:firstLineChars="200"/>
        <w:jc w:val="both"/>
        <w:textAlignment w:val="auto"/>
        <w:rPr>
          <w:rFonts w:ascii="微软雅黑" w:hAnsi="微软雅黑"/>
          <w:b/>
          <w:sz w:val="21"/>
          <w:szCs w:val="21"/>
        </w:rPr>
      </w:pPr>
      <w:r>
        <w:rPr>
          <w:rFonts w:hint="eastAsia" w:ascii="黑体" w:hAnsi="黑体" w:eastAsia="黑体"/>
          <w:b/>
          <w:sz w:val="24"/>
          <w:szCs w:val="24"/>
        </w:rPr>
        <w:t>第三章 企业的生产与成本</w:t>
      </w:r>
      <w:r>
        <w:rPr>
          <w:rFonts w:hint="eastAsia" w:ascii="黑体" w:hAnsi="黑体" w:eastAsia="黑体"/>
          <w:b/>
          <w:sz w:val="21"/>
          <w:szCs w:val="21"/>
        </w:rPr>
        <w:t>（支撑课程目标2）</w:t>
      </w:r>
    </w:p>
    <w:p w14:paraId="67CE3E91">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微软雅黑" w:hAnsi="微软雅黑" w:eastAsiaTheme="minorEastAsia"/>
          <w:sz w:val="21"/>
          <w:szCs w:val="21"/>
          <w:lang w:val="en-US" w:eastAsia="zh-CN"/>
        </w:rPr>
      </w:pPr>
      <w:r>
        <w:rPr>
          <w:rFonts w:hint="eastAsia" w:ascii="微软雅黑" w:hAnsi="微软雅黑"/>
          <w:sz w:val="21"/>
          <w:szCs w:val="21"/>
          <w:lang w:val="en-US" w:eastAsia="zh-CN"/>
        </w:rPr>
        <w:t xml:space="preserve">    1.</w:t>
      </w:r>
      <w:r>
        <w:rPr>
          <w:rFonts w:hint="eastAsia" w:ascii="宋体" w:hAnsi="宋体" w:eastAsia="宋体" w:cs="宋体"/>
          <w:sz w:val="21"/>
          <w:szCs w:val="21"/>
          <w:lang w:val="en-US" w:eastAsia="zh-CN"/>
        </w:rPr>
        <w:t>教学目标</w:t>
      </w:r>
    </w:p>
    <w:p w14:paraId="67E3C8D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rPr>
      </w:pPr>
      <w:r>
        <w:rPr>
          <w:rFonts w:hint="eastAsia" w:ascii="宋体" w:hAnsi="宋体" w:eastAsia="宋体" w:cs="宋体"/>
          <w:sz w:val="21"/>
          <w:szCs w:val="21"/>
          <w:lang w:val="en-US" w:eastAsia="zh-CN"/>
        </w:rPr>
        <w:t>本章主要从投入-产出角度分析生产要素的合理投入区和生产要素的最优组合。学习本章首先应注意生产理论的分析前提，正确理解和把握生产函数的内涵，在此基础上，熟练掌握边际产量、平均产量和总产量的关系，熟知什么是生产要素的最优组合，如何达到生产要素的最优组合，知道不同条件下生产要素的合理投入区的划分标准。</w:t>
      </w:r>
      <w:r>
        <w:rPr>
          <w:rFonts w:hint="eastAsia"/>
        </w:rPr>
        <w:t xml:space="preserve">  </w:t>
      </w:r>
    </w:p>
    <w:p w14:paraId="21723D6E">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在对成本进行分类的基础上，阐述各类成本的变动规律及其关系。学习本章要熟练把握上一章的投入-产出的关系，以此为基础，熟悉各类成本的概念，重点掌握各类成本变动规律、原因，短期内平均成本、平均可变成本和边际成本的关系，长期成本和短期成本的关系。</w:t>
      </w:r>
    </w:p>
    <w:p w14:paraId="131C1A15">
      <w:pPr>
        <w:keepNext w:val="0"/>
        <w:keepLines w:val="0"/>
        <w:pageBreakBefore w:val="0"/>
        <w:widowControl w:val="0"/>
        <w:kinsoku/>
        <w:wordWrap/>
        <w:overflowPunct/>
        <w:topLinePunct w:val="0"/>
        <w:autoSpaceDE/>
        <w:autoSpaceDN/>
        <w:bidi w:val="0"/>
        <w:adjustRightInd/>
        <w:snapToGrid/>
        <w:spacing w:line="400" w:lineRule="exact"/>
        <w:ind w:firstLine="420"/>
        <w:jc w:val="both"/>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2.教学内容</w:t>
      </w:r>
    </w:p>
    <w:p w14:paraId="6BECD25E">
      <w:pPr>
        <w:keepNext w:val="0"/>
        <w:keepLines w:val="0"/>
        <w:pageBreakBefore w:val="0"/>
        <w:widowControl w:val="0"/>
        <w:kinsoku/>
        <w:wordWrap/>
        <w:overflowPunct/>
        <w:topLinePunct w:val="0"/>
        <w:autoSpaceDE/>
        <w:autoSpaceDN/>
        <w:bidi w:val="0"/>
        <w:adjustRightInd/>
        <w:snapToGrid/>
        <w:spacing w:line="400" w:lineRule="exact"/>
        <w:ind w:firstLine="42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（1）企业与生产函数；短期生产函数；总产量、平均产量与边际产量、生产要素报酬递减规律</w:t>
      </w:r>
    </w:p>
    <w:p w14:paraId="2418E6CD">
      <w:pPr>
        <w:keepNext w:val="0"/>
        <w:keepLines w:val="0"/>
        <w:pageBreakBefore w:val="0"/>
        <w:widowControl w:val="0"/>
        <w:kinsoku/>
        <w:wordWrap/>
        <w:overflowPunct/>
        <w:topLinePunct w:val="0"/>
        <w:autoSpaceDE/>
        <w:autoSpaceDN/>
        <w:bidi w:val="0"/>
        <w:adjustRightInd/>
        <w:snapToGrid/>
        <w:spacing w:line="400" w:lineRule="exact"/>
        <w:ind w:firstLine="42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（2）长期生产函数；等产量曲线的涵义与特点、等成本线</w:t>
      </w:r>
    </w:p>
    <w:p w14:paraId="117171BE">
      <w:pPr>
        <w:keepNext w:val="0"/>
        <w:keepLines w:val="0"/>
        <w:pageBreakBefore w:val="0"/>
        <w:widowControl w:val="0"/>
        <w:kinsoku/>
        <w:wordWrap/>
        <w:overflowPunct/>
        <w:topLinePunct w:val="0"/>
        <w:autoSpaceDE/>
        <w:autoSpaceDN/>
        <w:bidi w:val="0"/>
        <w:adjustRightInd/>
        <w:snapToGrid/>
        <w:spacing w:line="400" w:lineRule="exact"/>
        <w:ind w:firstLine="42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（3）厂商均衡：投入量的最优组合；产量给定所费成本为最小、成本给定，产量为最大、生产要素的替代效应与产量效应、生产规模的报酬</w:t>
      </w:r>
    </w:p>
    <w:p w14:paraId="61E1F3D6">
      <w:pPr>
        <w:keepNext w:val="0"/>
        <w:keepLines w:val="0"/>
        <w:pageBreakBefore w:val="0"/>
        <w:widowControl w:val="0"/>
        <w:kinsoku/>
        <w:wordWrap/>
        <w:overflowPunct/>
        <w:topLinePunct w:val="0"/>
        <w:autoSpaceDE/>
        <w:autoSpaceDN/>
        <w:bidi w:val="0"/>
        <w:adjustRightInd/>
        <w:snapToGrid/>
        <w:spacing w:line="400" w:lineRule="exact"/>
        <w:ind w:firstLine="42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（4）成本的概念：显成本与隐成本；社会成本与私人成本、成本函数。</w:t>
      </w:r>
    </w:p>
    <w:p w14:paraId="267222CB">
      <w:pPr>
        <w:keepNext w:val="0"/>
        <w:keepLines w:val="0"/>
        <w:pageBreakBefore w:val="0"/>
        <w:widowControl w:val="0"/>
        <w:kinsoku/>
        <w:wordWrap/>
        <w:overflowPunct/>
        <w:topLinePunct w:val="0"/>
        <w:autoSpaceDE/>
        <w:autoSpaceDN/>
        <w:bidi w:val="0"/>
        <w:adjustRightInd/>
        <w:snapToGrid/>
        <w:spacing w:line="400" w:lineRule="exact"/>
        <w:ind w:firstLine="42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（5）厂商的短期成本、短期总成本、短期平均成本、短期边际成本。</w:t>
      </w:r>
    </w:p>
    <w:p w14:paraId="76B133E4">
      <w:pPr>
        <w:keepNext w:val="0"/>
        <w:keepLines w:val="0"/>
        <w:pageBreakBefore w:val="0"/>
        <w:widowControl w:val="0"/>
        <w:kinsoku/>
        <w:wordWrap/>
        <w:overflowPunct/>
        <w:topLinePunct w:val="0"/>
        <w:autoSpaceDE/>
        <w:autoSpaceDN/>
        <w:bidi w:val="0"/>
        <w:adjustRightInd/>
        <w:snapToGrid/>
        <w:spacing w:line="400" w:lineRule="exact"/>
        <w:ind w:firstLine="42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（6）厂商的长期成本；长期成本的涵义、长期平均成本的形状、影响长期平均成本的因素：规模经济与规模不经济、学习效应、范围经济。</w:t>
      </w:r>
    </w:p>
    <w:p w14:paraId="7A6CA0BC">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482" w:firstLineChars="200"/>
        <w:jc w:val="both"/>
        <w:textAlignment w:val="auto"/>
        <w:rPr>
          <w:rFonts w:ascii="微软雅黑" w:hAnsi="微软雅黑"/>
          <w:b/>
          <w:bCs/>
          <w:sz w:val="21"/>
          <w:szCs w:val="21"/>
        </w:rPr>
      </w:pPr>
      <w:r>
        <w:rPr>
          <w:rFonts w:hint="eastAsia" w:ascii="黑体" w:hAnsi="黑体" w:eastAsia="黑体"/>
          <w:b/>
          <w:sz w:val="24"/>
          <w:szCs w:val="24"/>
        </w:rPr>
        <w:t>第四章 完全竞争市场的价格与产量的决定</w:t>
      </w:r>
      <w:r>
        <w:rPr>
          <w:rFonts w:hint="eastAsia" w:ascii="黑体" w:hAnsi="黑体" w:eastAsia="黑体"/>
          <w:b/>
          <w:sz w:val="21"/>
          <w:szCs w:val="21"/>
        </w:rPr>
        <w:t>（支撑课程目标2）</w:t>
      </w:r>
    </w:p>
    <w:p w14:paraId="43F4612F">
      <w:pPr>
        <w:keepNext w:val="0"/>
        <w:keepLines w:val="0"/>
        <w:pageBreakBefore w:val="0"/>
        <w:widowControl w:val="0"/>
        <w:tabs>
          <w:tab w:val="left" w:pos="1080"/>
        </w:tabs>
        <w:kinsoku/>
        <w:wordWrap/>
        <w:overflowPunct/>
        <w:topLinePunct w:val="0"/>
        <w:autoSpaceDE/>
        <w:autoSpaceDN/>
        <w:bidi w:val="0"/>
        <w:adjustRightInd/>
        <w:snapToGrid/>
        <w:spacing w:line="400" w:lineRule="exact"/>
        <w:ind w:firstLine="420" w:firstLineChars="200"/>
        <w:jc w:val="both"/>
        <w:textAlignment w:val="auto"/>
        <w:rPr>
          <w:rFonts w:hint="default" w:ascii="宋体" w:hAnsi="宋体" w:eastAsia="宋体" w:cs="宋体"/>
          <w:sz w:val="21"/>
          <w:szCs w:val="21"/>
          <w:lang w:val="en-US" w:eastAsia="zh-CN"/>
        </w:rPr>
      </w:pPr>
      <w:r>
        <w:rPr>
          <w:rFonts w:hint="eastAsia" w:ascii="微软雅黑" w:hAnsi="微软雅黑"/>
          <w:sz w:val="21"/>
          <w:szCs w:val="21"/>
          <w:lang w:val="en-US" w:eastAsia="zh-CN"/>
        </w:rPr>
        <w:t>1.</w:t>
      </w:r>
      <w:r>
        <w:rPr>
          <w:rFonts w:hint="eastAsia" w:ascii="宋体" w:hAnsi="宋体" w:eastAsia="宋体" w:cs="宋体"/>
          <w:sz w:val="21"/>
          <w:szCs w:val="21"/>
          <w:lang w:val="en-US" w:eastAsia="zh-CN"/>
        </w:rPr>
        <w:t>教学目标</w:t>
      </w:r>
    </w:p>
    <w:p w14:paraId="6A686F3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r>
        <w:rPr>
          <w:rFonts w:hint="eastAsia" w:ascii="微软雅黑" w:hAnsi="微软雅黑"/>
          <w:sz w:val="21"/>
          <w:szCs w:val="21"/>
          <w:lang w:val="en-US" w:eastAsia="zh-CN"/>
        </w:rPr>
        <w:t xml:space="preserve">   </w:t>
      </w:r>
      <w:r>
        <w:rPr>
          <w:rFonts w:hint="eastAsia" w:ascii="宋体" w:hAnsi="宋体" w:eastAsia="宋体" w:cs="宋体"/>
          <w:sz w:val="21"/>
          <w:szCs w:val="21"/>
          <w:lang w:val="en-US" w:eastAsia="zh-CN"/>
        </w:rPr>
        <w:t xml:space="preserve"> 本章主要阐述完全市场条件下，厂商为实现利润最大化，所进行的产量和价格的决策。学习本章，首先，了解市场的划分标准、类别和特点，掌握完全竞争市场的形成条件、特点，厂商所面临的需求曲线和收益曲线；其次，能分析说明完全竞争厂商在不同条件下的均衡状况，理解厂商的最优决策，推导短期和长期内厂商及行业的供给曲线。</w:t>
      </w:r>
    </w:p>
    <w:p w14:paraId="583E752B">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42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教学内容</w:t>
      </w:r>
    </w:p>
    <w:p w14:paraId="08F9131E">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（1）企业收益、市场结构、企业利润最大化、西方经济学家划分市场结构的标准</w:t>
      </w:r>
    </w:p>
    <w:p w14:paraId="28D30E4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（2）完全竞争市场的涵义与特点；完全竞争的涵义、完全竞争市场的行业需求与厂商需求、厂商的总收益、平均收益与边际收益、</w:t>
      </w:r>
    </w:p>
    <w:p w14:paraId="2DFDDF4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（3）厂商短期均衡产量的决定、完全竞争市场的厂商短期供给曲线和行业供给曲线</w:t>
      </w:r>
    </w:p>
    <w:p w14:paraId="7ECD672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（4）完全竞争厂商和行业的长期均衡；行业的长期均衡与厂商长期均衡、完全竞争行业的长期供给曲线</w:t>
      </w:r>
    </w:p>
    <w:p w14:paraId="271613D2">
      <w:pPr>
        <w:keepNext w:val="0"/>
        <w:keepLines w:val="0"/>
        <w:pageBreakBefore w:val="0"/>
        <w:widowControl w:val="0"/>
        <w:tabs>
          <w:tab w:val="left" w:pos="1080"/>
        </w:tabs>
        <w:kinsoku/>
        <w:wordWrap/>
        <w:overflowPunct/>
        <w:topLinePunct w:val="0"/>
        <w:autoSpaceDE/>
        <w:autoSpaceDN/>
        <w:bidi w:val="0"/>
        <w:adjustRightInd/>
        <w:snapToGrid/>
        <w:spacing w:line="400" w:lineRule="exact"/>
        <w:ind w:firstLine="482" w:firstLineChars="200"/>
        <w:jc w:val="both"/>
        <w:textAlignment w:val="auto"/>
        <w:rPr>
          <w:rFonts w:hint="eastAsia" w:ascii="黑体" w:hAnsi="黑体" w:eastAsia="黑体"/>
          <w:b/>
          <w:sz w:val="21"/>
          <w:szCs w:val="21"/>
        </w:rPr>
      </w:pPr>
      <w:r>
        <w:rPr>
          <w:rFonts w:hint="eastAsia" w:ascii="黑体" w:hAnsi="黑体" w:eastAsia="黑体"/>
          <w:b/>
          <w:sz w:val="24"/>
          <w:szCs w:val="24"/>
        </w:rPr>
        <w:t>第五章 不完全竞争市场的价格与产量的决定</w:t>
      </w:r>
      <w:r>
        <w:rPr>
          <w:rFonts w:hint="eastAsia" w:ascii="黑体" w:hAnsi="黑体" w:eastAsia="黑体"/>
          <w:b/>
          <w:sz w:val="21"/>
          <w:szCs w:val="21"/>
        </w:rPr>
        <w:t>（支撑课程目标 3）</w:t>
      </w:r>
    </w:p>
    <w:p w14:paraId="45BE547E">
      <w:pPr>
        <w:keepNext w:val="0"/>
        <w:keepLines w:val="0"/>
        <w:pageBreakBefore w:val="0"/>
        <w:widowControl w:val="0"/>
        <w:tabs>
          <w:tab w:val="left" w:pos="1080"/>
        </w:tabs>
        <w:kinsoku/>
        <w:wordWrap/>
        <w:overflowPunct/>
        <w:topLinePunct w:val="0"/>
        <w:autoSpaceDE/>
        <w:autoSpaceDN/>
        <w:bidi w:val="0"/>
        <w:adjustRightInd/>
        <w:snapToGrid/>
        <w:spacing w:line="400" w:lineRule="exact"/>
        <w:jc w:val="both"/>
        <w:textAlignment w:val="auto"/>
        <w:rPr>
          <w:rFonts w:hint="default" w:ascii="微软雅黑" w:hAnsi="微软雅黑" w:eastAsiaTheme="minorEastAsia"/>
          <w:sz w:val="21"/>
          <w:szCs w:val="21"/>
          <w:lang w:val="en-US" w:eastAsia="zh-CN"/>
        </w:rPr>
      </w:pPr>
      <w:r>
        <w:rPr>
          <w:rFonts w:hint="eastAsia" w:ascii="微软雅黑" w:hAnsi="微软雅黑"/>
          <w:sz w:val="21"/>
          <w:szCs w:val="21"/>
          <w:lang w:val="en-US" w:eastAsia="zh-CN"/>
        </w:rPr>
        <w:t xml:space="preserve">    1.教学目标</w:t>
      </w:r>
    </w:p>
    <w:p w14:paraId="77F0DAF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章主要阐述不完全竞争市场条件下，厂商为实现利润最大化，所进行的产量和价格的决策，在此基础上分析比较不同市场的资源配置效率。学习本章，首先应明确不同市场的形成条件，知道不同市场厂商所面临的需求曲线和收益曲线；其次，熟练掌握不同市场情况下厂商均衡的条件和厂商的最优市场决策，最后能分析不同市场厂商的资源配置效率。</w:t>
      </w:r>
    </w:p>
    <w:p w14:paraId="5533F42F">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 xml:space="preserve"> 2.教学内容</w:t>
      </w:r>
    </w:p>
    <w:p w14:paraId="2A8D027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 垄断厂商的均衡价格与产量的决定、垄断厂商的边际收益与需求弹性、垄断厂商的短期均衡、垄断厂商的长期均衡、 完全垄断厂商的差别定价</w:t>
      </w:r>
    </w:p>
    <w:p w14:paraId="05CF927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（2）垄断竞争行业的特点； 垄断竞争的厂商均衡与行业均衡、垄断竞争厂商的两条需求曲线、垄断竞争厂商的短期均衡、垄断竞争厂商的长期均衡。</w:t>
      </w:r>
    </w:p>
    <w:p w14:paraId="10E7EAA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（3）寡头垄断行业的价格与产量的决定；、双垄断理论（古诺模型）、拐折的需求曲线、价格领导、勾结与卡特尔</w:t>
      </w:r>
    </w:p>
    <w:p w14:paraId="4CC6EEB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（4）博弈论；博弈的分类：合作博弈与非合作博弈；零和博弈与常和博弈；静态博弈与动态博弈；完全信息博弈与不完全信息博弈。博弈模型、纳什均衡、博弈分析的应用</w:t>
      </w:r>
    </w:p>
    <w:p w14:paraId="5128BEC6">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482" w:firstLineChars="200"/>
        <w:jc w:val="both"/>
        <w:textAlignment w:val="auto"/>
        <w:rPr>
          <w:rFonts w:hint="eastAsia" w:ascii="黑体" w:hAnsi="黑体" w:eastAsia="黑体"/>
          <w:b/>
          <w:sz w:val="21"/>
          <w:szCs w:val="21"/>
        </w:rPr>
      </w:pPr>
      <w:r>
        <w:rPr>
          <w:rFonts w:hint="eastAsia" w:ascii="黑体" w:hAnsi="黑体" w:eastAsia="黑体"/>
          <w:b/>
          <w:sz w:val="24"/>
          <w:szCs w:val="24"/>
        </w:rPr>
        <w:t>第六章 生产要素市场与收入分配</w:t>
      </w:r>
      <w:r>
        <w:rPr>
          <w:rFonts w:hint="eastAsia" w:ascii="黑体" w:hAnsi="黑体" w:eastAsia="黑体"/>
          <w:b/>
          <w:sz w:val="21"/>
          <w:szCs w:val="21"/>
        </w:rPr>
        <w:t>（支撑课程目标 2）</w:t>
      </w:r>
    </w:p>
    <w:p w14:paraId="1DF8B0E2">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420" w:firstLineChars="200"/>
        <w:jc w:val="both"/>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 xml:space="preserve"> 1.教学目标</w:t>
      </w:r>
    </w:p>
    <w:p w14:paraId="2D5EEF2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本章主要分析完全市场条件下，厂商对生产要素的需求原则，主要生产要素供给状况，以及收入分配的平等程度的衡量。学习为本章，重点掌握完全竞争条件下厂商对生产要素的需求原则和一些基本概念。</w:t>
      </w:r>
    </w:p>
    <w:p w14:paraId="270F3B6C">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2.教学内容</w:t>
      </w:r>
    </w:p>
    <w:p w14:paraId="300C5EAD">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（1）生产资源的价格和分配理论</w:t>
      </w:r>
    </w:p>
    <w:p w14:paraId="699AE0E0">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生产要素定价理论探讨的是生产要素的价格是如何确定的，由于对生产要素的定价过程就是生产要素所有者取得收入的过程，因此，生产要素定价也称为收入分配理论。</w:t>
      </w:r>
    </w:p>
    <w:p w14:paraId="674D905A">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（2）生产要素与生产要素的需求、对生产要素的需求与派生需求、完全竞争市场条件下厂商对要素的需求、非完全竞争条件下厂商对一种可变要素的需求、两种或更多要素可以变动条件下厂商对要素的需求</w:t>
      </w:r>
    </w:p>
    <w:p w14:paraId="1F06CBE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（3）生产要素的供给理论</w:t>
      </w:r>
    </w:p>
    <w:p w14:paraId="1463CFAB">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（4）劳动与工资</w:t>
      </w:r>
    </w:p>
    <w:p w14:paraId="13D1908E">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（5）土地与地租</w:t>
      </w:r>
    </w:p>
    <w:p w14:paraId="5E81D6FA">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（6）资本与利息</w:t>
      </w:r>
    </w:p>
    <w:p w14:paraId="4B544A96">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firstLine="482" w:firstLineChars="200"/>
        <w:textAlignment w:val="auto"/>
        <w:rPr>
          <w:rFonts w:ascii="微软雅黑" w:hAnsi="微软雅黑"/>
          <w:b/>
          <w:sz w:val="21"/>
          <w:szCs w:val="21"/>
        </w:rPr>
      </w:pPr>
      <w:r>
        <w:rPr>
          <w:rFonts w:hint="eastAsia" w:ascii="黑体" w:hAnsi="黑体" w:eastAsia="黑体"/>
          <w:b/>
          <w:sz w:val="24"/>
          <w:szCs w:val="24"/>
        </w:rPr>
        <w:t>第七章 一般均衡与效率</w:t>
      </w:r>
      <w:r>
        <w:rPr>
          <w:rFonts w:hint="eastAsia" w:ascii="黑体" w:hAnsi="黑体" w:eastAsia="黑体"/>
          <w:b/>
          <w:sz w:val="21"/>
          <w:szCs w:val="21"/>
        </w:rPr>
        <w:t>（支撑课程目标 2）</w:t>
      </w:r>
    </w:p>
    <w:p w14:paraId="4C909D5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1.教学目标</w:t>
      </w:r>
    </w:p>
    <w:p w14:paraId="3DD3A20C">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本章从总体角度分析生产、交易的均衡含义和条件，说明帕累托效率的体制要求。学习本章重点掌握生产、交易的一般均衡含义和条件，知道什么是帕累托效率及实现条件。</w:t>
      </w:r>
    </w:p>
    <w:p w14:paraId="6DCB9FE2">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2.教学内容</w:t>
      </w:r>
    </w:p>
    <w:p w14:paraId="596458A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（1）一般均衡</w:t>
      </w:r>
    </w:p>
    <w:p w14:paraId="6822B950">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（2）竞争性均衡与经济效率</w:t>
      </w:r>
    </w:p>
    <w:p w14:paraId="18DF3EA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（3）公平与效率</w:t>
      </w:r>
    </w:p>
    <w:p w14:paraId="0B37F224">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jc w:val="both"/>
        <w:textAlignment w:val="auto"/>
        <w:rPr>
          <w:rFonts w:ascii="微软雅黑" w:hAnsi="微软雅黑"/>
          <w:b/>
          <w:sz w:val="21"/>
          <w:szCs w:val="21"/>
        </w:rPr>
      </w:pPr>
      <w:r>
        <w:rPr>
          <w:rFonts w:hint="eastAsia" w:ascii="黑体" w:hAnsi="黑体" w:eastAsia="黑体"/>
          <w:b/>
          <w:sz w:val="24"/>
          <w:szCs w:val="24"/>
        </w:rPr>
        <w:t>第八章 市场失灵与微观经济政策</w:t>
      </w:r>
      <w:r>
        <w:rPr>
          <w:rFonts w:hint="eastAsia" w:ascii="黑体" w:hAnsi="黑体" w:eastAsia="黑体"/>
          <w:b/>
          <w:sz w:val="21"/>
          <w:szCs w:val="21"/>
        </w:rPr>
        <w:t>（支撑课程目标 3）</w:t>
      </w:r>
    </w:p>
    <w:p w14:paraId="271266C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1.教学目标</w:t>
      </w:r>
    </w:p>
    <w:p w14:paraId="3A5CA1B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本章以垄断、外部性、公共产品及非对称信息为前提，分析市场机制的失灵及其政府的作用。学习本章主要从一般意义上知道导致市场失灵的原因及其解决的方法。</w:t>
      </w:r>
    </w:p>
    <w:p w14:paraId="3BBBC2D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2.教学内容</w:t>
      </w:r>
    </w:p>
    <w:p w14:paraId="2808452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市场失灵是指市场在某些领域不能起作用或不能有效起作用的情况，导致市场失灵的原因有这样几种：不对称信息、外部性、公共产品、及垄断。</w:t>
      </w:r>
    </w:p>
    <w:p w14:paraId="7EB656C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（1）垄断与低效率、对垄断的管制、反垄断法</w:t>
      </w:r>
    </w:p>
    <w:p w14:paraId="676044B7">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（2）外部性；外部性与资源配置失灵正的外部效应和负的外部效应；针对外部性的微观政策：政府干预、合并企业、明确产权（科斯定理）。</w:t>
      </w:r>
    </w:p>
    <w:p w14:paraId="3BE48B4E">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（3）公共物品与公共资源；公共品的特征、公共物品与市场失灵、公共物品有效提供的决策机制。</w:t>
      </w:r>
    </w:p>
    <w:p w14:paraId="2FA7D1A2">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（4）非对称信息：买卖双方掌握的信息是不对称的，一方掌握的信息多一些，另一方掌握的信息少一些。</w:t>
      </w:r>
    </w:p>
    <w:p w14:paraId="1282231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信息不对称引发的问题：①逆向选择 ②道德风险、针对信息不完全与不对称的微观政策。</w:t>
      </w:r>
    </w:p>
    <w:p w14:paraId="1844B3C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（5）收入分配中的不平等、收入再分配政策。</w:t>
      </w:r>
    </w:p>
    <w:p w14:paraId="1EBE4731">
      <w:pPr>
        <w:widowControl/>
        <w:spacing w:before="156" w:beforeLines="50" w:after="156" w:afterLines="50"/>
        <w:ind w:firstLine="562" w:firstLineChars="200"/>
        <w:jc w:val="left"/>
      </w:pPr>
      <w:r>
        <w:rPr>
          <w:rFonts w:hint="eastAsia" w:ascii="黑体" w:hAnsi="黑体" w:eastAsia="黑体"/>
          <w:b/>
          <w:sz w:val="28"/>
          <w:szCs w:val="28"/>
        </w:rPr>
        <w:t>四、学时分配</w:t>
      </w:r>
    </w:p>
    <w:p w14:paraId="04BDE2A5">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7"/>
        <w:gridCol w:w="3780"/>
        <w:gridCol w:w="2279"/>
      </w:tblGrid>
      <w:tr w14:paraId="3A91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37" w:type="dxa"/>
            <w:vAlign w:val="center"/>
          </w:tcPr>
          <w:p w14:paraId="03AC7E21">
            <w:pPr>
              <w:widowControl/>
              <w:spacing w:before="156" w:beforeLines="50" w:after="156" w:afterLines="50"/>
              <w:jc w:val="center"/>
              <w:rPr>
                <w:rFonts w:ascii="宋体" w:hAnsi="宋体" w:eastAsia="宋体"/>
              </w:rPr>
            </w:pPr>
            <w:r>
              <w:rPr>
                <w:rFonts w:hint="eastAsia" w:ascii="宋体" w:hAnsi="宋体" w:eastAsia="宋体"/>
              </w:rPr>
              <w:t>章节</w:t>
            </w:r>
          </w:p>
        </w:tc>
        <w:tc>
          <w:tcPr>
            <w:tcW w:w="3780" w:type="dxa"/>
            <w:vAlign w:val="center"/>
          </w:tcPr>
          <w:p w14:paraId="0B6F7595">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279" w:type="dxa"/>
            <w:vAlign w:val="center"/>
          </w:tcPr>
          <w:p w14:paraId="4DFE9471">
            <w:pPr>
              <w:widowControl/>
              <w:spacing w:before="156" w:beforeLines="50" w:after="156" w:afterLines="50"/>
              <w:jc w:val="center"/>
              <w:rPr>
                <w:rFonts w:ascii="宋体" w:hAnsi="宋体" w:eastAsia="宋体"/>
              </w:rPr>
            </w:pPr>
            <w:r>
              <w:rPr>
                <w:rFonts w:hint="eastAsia" w:ascii="宋体" w:hAnsi="宋体" w:eastAsia="宋体"/>
              </w:rPr>
              <w:t>学时分配</w:t>
            </w:r>
          </w:p>
        </w:tc>
      </w:tr>
      <w:tr w14:paraId="2EA05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37" w:type="dxa"/>
            <w:vAlign w:val="center"/>
          </w:tcPr>
          <w:p w14:paraId="200EFEA8">
            <w:pPr>
              <w:widowControl/>
              <w:spacing w:before="156" w:beforeLines="50" w:after="156" w:afterLines="50"/>
              <w:jc w:val="center"/>
              <w:rPr>
                <w:rFonts w:hint="eastAsia" w:ascii="宋体" w:hAnsi="宋体" w:eastAsia="宋体"/>
              </w:rPr>
            </w:pPr>
          </w:p>
        </w:tc>
        <w:tc>
          <w:tcPr>
            <w:tcW w:w="3780" w:type="dxa"/>
            <w:vAlign w:val="center"/>
          </w:tcPr>
          <w:p w14:paraId="677AF2FF">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导论</w:t>
            </w:r>
          </w:p>
        </w:tc>
        <w:tc>
          <w:tcPr>
            <w:tcW w:w="2279" w:type="dxa"/>
            <w:vAlign w:val="center"/>
          </w:tcPr>
          <w:p w14:paraId="47D70A8E">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3</w:t>
            </w:r>
          </w:p>
        </w:tc>
      </w:tr>
      <w:tr w14:paraId="61CF4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37" w:type="dxa"/>
            <w:vAlign w:val="center"/>
          </w:tcPr>
          <w:p w14:paraId="7FA2984B">
            <w:pPr>
              <w:widowControl/>
              <w:spacing w:before="156" w:beforeLines="50" w:after="156" w:afterLines="50"/>
              <w:jc w:val="center"/>
              <w:rPr>
                <w:rFonts w:ascii="宋体" w:hAnsi="宋体" w:eastAsia="宋体"/>
              </w:rPr>
            </w:pPr>
            <w:r>
              <w:rPr>
                <w:rFonts w:hint="eastAsia" w:ascii="宋体" w:hAnsi="宋体" w:eastAsia="宋体"/>
              </w:rPr>
              <w:t>第一章</w:t>
            </w:r>
          </w:p>
        </w:tc>
        <w:tc>
          <w:tcPr>
            <w:tcW w:w="3780" w:type="dxa"/>
            <w:vAlign w:val="center"/>
          </w:tcPr>
          <w:p w14:paraId="1BB97EAB">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需求供给与均衡价格</w:t>
            </w:r>
          </w:p>
        </w:tc>
        <w:tc>
          <w:tcPr>
            <w:tcW w:w="2279" w:type="dxa"/>
            <w:vAlign w:val="center"/>
          </w:tcPr>
          <w:p w14:paraId="363D1EB1">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6</w:t>
            </w:r>
          </w:p>
        </w:tc>
      </w:tr>
      <w:tr w14:paraId="6CE0C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37" w:type="dxa"/>
            <w:vAlign w:val="center"/>
          </w:tcPr>
          <w:p w14:paraId="688EBB91">
            <w:pPr>
              <w:widowControl/>
              <w:spacing w:before="156" w:beforeLines="50" w:after="156" w:afterLines="50"/>
              <w:jc w:val="center"/>
              <w:rPr>
                <w:rFonts w:ascii="宋体" w:hAnsi="宋体" w:eastAsia="宋体"/>
              </w:rPr>
            </w:pPr>
            <w:r>
              <w:rPr>
                <w:rFonts w:hint="eastAsia" w:ascii="宋体" w:hAnsi="宋体" w:eastAsia="宋体"/>
              </w:rPr>
              <w:t>第二章</w:t>
            </w:r>
          </w:p>
        </w:tc>
        <w:tc>
          <w:tcPr>
            <w:tcW w:w="3780" w:type="dxa"/>
            <w:vAlign w:val="center"/>
          </w:tcPr>
          <w:p w14:paraId="46BE9160">
            <w:pPr>
              <w:widowControl/>
              <w:spacing w:before="156" w:beforeLines="50" w:after="156" w:afterLines="50"/>
              <w:jc w:val="center"/>
              <w:rPr>
                <w:rFonts w:ascii="宋体" w:hAnsi="宋体" w:eastAsia="宋体"/>
              </w:rPr>
            </w:pPr>
            <w:r>
              <w:rPr>
                <w:rFonts w:hint="eastAsia" w:ascii="宋体" w:hAnsi="宋体" w:eastAsia="宋体"/>
                <w:lang w:val="en-US" w:eastAsia="zh-CN"/>
              </w:rPr>
              <w:t>消费者选择</w:t>
            </w:r>
          </w:p>
        </w:tc>
        <w:tc>
          <w:tcPr>
            <w:tcW w:w="2279" w:type="dxa"/>
            <w:vAlign w:val="center"/>
          </w:tcPr>
          <w:p w14:paraId="17DBF8B4">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6</w:t>
            </w:r>
          </w:p>
        </w:tc>
      </w:tr>
      <w:tr w14:paraId="43226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37" w:type="dxa"/>
            <w:vAlign w:val="center"/>
          </w:tcPr>
          <w:p w14:paraId="0696E2B2">
            <w:pPr>
              <w:widowControl/>
              <w:spacing w:before="156" w:beforeLines="50" w:after="156" w:afterLines="50"/>
              <w:jc w:val="center"/>
              <w:rPr>
                <w:rFonts w:ascii="宋体" w:hAnsi="宋体" w:eastAsia="宋体"/>
              </w:rPr>
            </w:pPr>
            <w:r>
              <w:rPr>
                <w:rFonts w:hint="eastAsia" w:ascii="宋体" w:hAnsi="宋体" w:eastAsia="宋体"/>
              </w:rPr>
              <w:t>第三章</w:t>
            </w:r>
          </w:p>
        </w:tc>
        <w:tc>
          <w:tcPr>
            <w:tcW w:w="3780" w:type="dxa"/>
            <w:vAlign w:val="center"/>
          </w:tcPr>
          <w:p w14:paraId="65836CCD">
            <w:pPr>
              <w:widowControl/>
              <w:spacing w:before="156" w:beforeLines="50" w:after="156" w:afterLines="50"/>
              <w:jc w:val="center"/>
              <w:rPr>
                <w:rFonts w:ascii="宋体" w:hAnsi="宋体" w:eastAsia="宋体"/>
              </w:rPr>
            </w:pPr>
            <w:r>
              <w:rPr>
                <w:rFonts w:hint="eastAsia" w:ascii="宋体" w:hAnsi="宋体" w:eastAsia="宋体"/>
                <w:lang w:val="en-US" w:eastAsia="zh-CN"/>
              </w:rPr>
              <w:t>企业的生产与成本</w:t>
            </w:r>
          </w:p>
        </w:tc>
        <w:tc>
          <w:tcPr>
            <w:tcW w:w="2279" w:type="dxa"/>
            <w:vAlign w:val="center"/>
          </w:tcPr>
          <w:p w14:paraId="7DF1DFC4">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9</w:t>
            </w:r>
          </w:p>
        </w:tc>
      </w:tr>
      <w:tr w14:paraId="7C79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37" w:type="dxa"/>
            <w:vAlign w:val="center"/>
          </w:tcPr>
          <w:p w14:paraId="19C6FA4A">
            <w:pPr>
              <w:widowControl/>
              <w:spacing w:before="156" w:beforeLines="50" w:after="156" w:afterLines="50"/>
              <w:jc w:val="center"/>
              <w:rPr>
                <w:rFonts w:ascii="宋体" w:hAnsi="宋体" w:eastAsia="宋体"/>
              </w:rPr>
            </w:pPr>
            <w:r>
              <w:rPr>
                <w:rFonts w:hint="eastAsia" w:ascii="宋体" w:hAnsi="宋体" w:eastAsia="宋体"/>
              </w:rPr>
              <w:t>第四章</w:t>
            </w:r>
          </w:p>
        </w:tc>
        <w:tc>
          <w:tcPr>
            <w:tcW w:w="3780" w:type="dxa"/>
            <w:vAlign w:val="center"/>
          </w:tcPr>
          <w:p w14:paraId="017CA248">
            <w:pPr>
              <w:widowControl/>
              <w:spacing w:before="156" w:beforeLines="50" w:after="156" w:afterLines="50"/>
              <w:jc w:val="center"/>
              <w:rPr>
                <w:rFonts w:ascii="宋体" w:hAnsi="宋体" w:eastAsia="宋体"/>
              </w:rPr>
            </w:pPr>
            <w:r>
              <w:rPr>
                <w:rFonts w:hint="eastAsia" w:ascii="宋体" w:hAnsi="宋体" w:eastAsia="宋体"/>
                <w:lang w:val="en-US" w:eastAsia="zh-CN"/>
              </w:rPr>
              <w:t>完全竞争市场的价格与产量的决定</w:t>
            </w:r>
          </w:p>
        </w:tc>
        <w:tc>
          <w:tcPr>
            <w:tcW w:w="2279" w:type="dxa"/>
            <w:vAlign w:val="center"/>
          </w:tcPr>
          <w:p w14:paraId="256A5CE1">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14:paraId="76EAE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37" w:type="dxa"/>
            <w:vAlign w:val="center"/>
          </w:tcPr>
          <w:p w14:paraId="6C24F4EA">
            <w:pPr>
              <w:widowControl/>
              <w:spacing w:before="156" w:beforeLines="50" w:after="156" w:afterLines="50"/>
              <w:jc w:val="center"/>
              <w:rPr>
                <w:rFonts w:ascii="宋体" w:hAnsi="宋体" w:eastAsia="宋体"/>
              </w:rPr>
            </w:pPr>
            <w:r>
              <w:rPr>
                <w:rFonts w:hint="eastAsia" w:ascii="宋体" w:hAnsi="宋体" w:eastAsia="宋体"/>
              </w:rPr>
              <w:t>第五章</w:t>
            </w:r>
          </w:p>
        </w:tc>
        <w:tc>
          <w:tcPr>
            <w:tcW w:w="3780" w:type="dxa"/>
            <w:vAlign w:val="center"/>
          </w:tcPr>
          <w:p w14:paraId="60D4AC38">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不完全竞争市场的价格与产量的决定</w:t>
            </w:r>
          </w:p>
        </w:tc>
        <w:tc>
          <w:tcPr>
            <w:tcW w:w="2279" w:type="dxa"/>
            <w:vAlign w:val="center"/>
          </w:tcPr>
          <w:p w14:paraId="59DFB9E2">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14:paraId="25D53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37" w:type="dxa"/>
            <w:vAlign w:val="center"/>
          </w:tcPr>
          <w:p w14:paraId="2DE9C737">
            <w:pPr>
              <w:widowControl/>
              <w:spacing w:before="156" w:beforeLines="50" w:after="156" w:afterLines="50"/>
              <w:jc w:val="center"/>
              <w:rPr>
                <w:rFonts w:ascii="宋体" w:hAnsi="宋体" w:eastAsia="宋体"/>
              </w:rPr>
            </w:pPr>
            <w:r>
              <w:rPr>
                <w:rFonts w:hint="eastAsia" w:ascii="宋体" w:hAnsi="宋体" w:eastAsia="宋体"/>
              </w:rPr>
              <w:t>第六章</w:t>
            </w:r>
          </w:p>
        </w:tc>
        <w:tc>
          <w:tcPr>
            <w:tcW w:w="3780" w:type="dxa"/>
            <w:vAlign w:val="center"/>
          </w:tcPr>
          <w:p w14:paraId="7C8C55C7">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生产要素市场与收入分配</w:t>
            </w:r>
          </w:p>
        </w:tc>
        <w:tc>
          <w:tcPr>
            <w:tcW w:w="2279" w:type="dxa"/>
            <w:vAlign w:val="center"/>
          </w:tcPr>
          <w:p w14:paraId="2EC3BA77">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6CD5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37" w:type="dxa"/>
            <w:vAlign w:val="center"/>
          </w:tcPr>
          <w:p w14:paraId="7F56B66B">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第七章</w:t>
            </w:r>
          </w:p>
        </w:tc>
        <w:tc>
          <w:tcPr>
            <w:tcW w:w="3780" w:type="dxa"/>
            <w:vAlign w:val="center"/>
          </w:tcPr>
          <w:p w14:paraId="3CA117F0">
            <w:pPr>
              <w:widowControl/>
              <w:spacing w:before="156" w:beforeLines="50" w:after="156" w:afterLines="50"/>
              <w:jc w:val="center"/>
              <w:rPr>
                <w:rFonts w:ascii="宋体" w:hAnsi="宋体" w:eastAsia="宋体"/>
              </w:rPr>
            </w:pPr>
            <w:r>
              <w:rPr>
                <w:rFonts w:hint="eastAsia" w:ascii="宋体" w:hAnsi="宋体" w:eastAsia="宋体"/>
                <w:lang w:val="en-US" w:eastAsia="zh-CN"/>
              </w:rPr>
              <w:t>一般均衡与效率</w:t>
            </w:r>
          </w:p>
        </w:tc>
        <w:tc>
          <w:tcPr>
            <w:tcW w:w="2279" w:type="dxa"/>
            <w:vAlign w:val="center"/>
          </w:tcPr>
          <w:p w14:paraId="0B202FC7">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09A79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37" w:type="dxa"/>
            <w:vAlign w:val="center"/>
          </w:tcPr>
          <w:p w14:paraId="4BAA539B">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第八章</w:t>
            </w:r>
          </w:p>
        </w:tc>
        <w:tc>
          <w:tcPr>
            <w:tcW w:w="3780" w:type="dxa"/>
            <w:vAlign w:val="center"/>
          </w:tcPr>
          <w:p w14:paraId="01B9133A">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市场失灵与微观经济政策</w:t>
            </w:r>
          </w:p>
        </w:tc>
        <w:tc>
          <w:tcPr>
            <w:tcW w:w="2279" w:type="dxa"/>
            <w:vAlign w:val="center"/>
          </w:tcPr>
          <w:p w14:paraId="233D01CF">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6</w:t>
            </w:r>
          </w:p>
        </w:tc>
      </w:tr>
    </w:tbl>
    <w:p w14:paraId="5891F7E7">
      <w:pPr>
        <w:widowControl/>
        <w:spacing w:before="156" w:beforeLines="50" w:after="156" w:afterLines="50"/>
        <w:ind w:firstLine="562" w:firstLineChars="200"/>
        <w:jc w:val="left"/>
      </w:pPr>
      <w:r>
        <w:rPr>
          <w:rFonts w:hint="eastAsia" w:ascii="黑体" w:hAnsi="黑体" w:eastAsia="黑体"/>
          <w:b/>
          <w:sz w:val="28"/>
          <w:szCs w:val="28"/>
        </w:rPr>
        <w:t>五、教学进度</w:t>
      </w:r>
    </w:p>
    <w:p w14:paraId="72E039F3">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820"/>
        <w:gridCol w:w="2115"/>
        <w:gridCol w:w="855"/>
        <w:gridCol w:w="1030"/>
        <w:gridCol w:w="904"/>
      </w:tblGrid>
      <w:tr w14:paraId="14500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F1C01BC">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820" w:type="dxa"/>
            <w:vAlign w:val="center"/>
          </w:tcPr>
          <w:p w14:paraId="107B56DA">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2115" w:type="dxa"/>
            <w:vAlign w:val="center"/>
          </w:tcPr>
          <w:p w14:paraId="66BF9C9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855" w:type="dxa"/>
            <w:vAlign w:val="center"/>
          </w:tcPr>
          <w:p w14:paraId="4AFF220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030" w:type="dxa"/>
            <w:vAlign w:val="center"/>
          </w:tcPr>
          <w:p w14:paraId="38C95AC2">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14:paraId="1FAB93C1">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14:paraId="72169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E1C54E3">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820" w:type="dxa"/>
            <w:vAlign w:val="center"/>
          </w:tcPr>
          <w:p w14:paraId="7FF16E97">
            <w:pPr>
              <w:widowControl/>
              <w:spacing w:before="156" w:beforeLines="50" w:after="156" w:afterLines="50"/>
              <w:jc w:val="center"/>
              <w:rPr>
                <w:rFonts w:ascii="宋体" w:hAnsi="宋体" w:eastAsia="宋体"/>
                <w:szCs w:val="21"/>
              </w:rPr>
            </w:pPr>
          </w:p>
        </w:tc>
        <w:tc>
          <w:tcPr>
            <w:tcW w:w="2115" w:type="dxa"/>
            <w:vAlign w:val="center"/>
          </w:tcPr>
          <w:p w14:paraId="6C2C86CC">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导论</w:t>
            </w:r>
          </w:p>
        </w:tc>
        <w:tc>
          <w:tcPr>
            <w:tcW w:w="855" w:type="dxa"/>
            <w:vAlign w:val="center"/>
          </w:tcPr>
          <w:p w14:paraId="35E43832">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030" w:type="dxa"/>
            <w:vAlign w:val="center"/>
          </w:tcPr>
          <w:p w14:paraId="0F4C9E8D">
            <w:pPr>
              <w:widowControl/>
              <w:spacing w:before="156" w:beforeLines="50" w:after="156" w:afterLines="50"/>
              <w:jc w:val="center"/>
              <w:rPr>
                <w:rFonts w:ascii="宋体" w:hAnsi="宋体" w:eastAsia="宋体"/>
                <w:szCs w:val="21"/>
              </w:rPr>
            </w:pPr>
          </w:p>
        </w:tc>
        <w:tc>
          <w:tcPr>
            <w:tcW w:w="904" w:type="dxa"/>
            <w:vAlign w:val="center"/>
          </w:tcPr>
          <w:p w14:paraId="096B3D2D">
            <w:pPr>
              <w:widowControl/>
              <w:spacing w:before="156" w:beforeLines="50" w:after="156" w:afterLines="50"/>
              <w:jc w:val="center"/>
              <w:rPr>
                <w:rFonts w:ascii="宋体" w:hAnsi="宋体" w:eastAsia="宋体"/>
                <w:szCs w:val="21"/>
              </w:rPr>
            </w:pPr>
          </w:p>
        </w:tc>
      </w:tr>
      <w:tr w14:paraId="7C05D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6FC70CF">
            <w:pPr>
              <w:widowControl/>
              <w:spacing w:before="156" w:beforeLines="50" w:after="156" w:afterLines="50"/>
              <w:jc w:val="center"/>
              <w:rPr>
                <w:rFonts w:ascii="宋体" w:hAnsi="宋体" w:eastAsia="宋体"/>
                <w:szCs w:val="21"/>
              </w:rPr>
            </w:pPr>
            <w:r>
              <w:rPr>
                <w:rFonts w:hint="eastAsia" w:ascii="宋体" w:hAnsi="宋体" w:eastAsia="宋体"/>
                <w:szCs w:val="21"/>
              </w:rPr>
              <w:t>2</w:t>
            </w:r>
            <w:r>
              <w:rPr>
                <w:rFonts w:ascii="宋体" w:hAnsi="宋体" w:eastAsia="宋体"/>
                <w:szCs w:val="21"/>
              </w:rPr>
              <w:t>-3</w:t>
            </w:r>
          </w:p>
        </w:tc>
        <w:tc>
          <w:tcPr>
            <w:tcW w:w="820" w:type="dxa"/>
            <w:vAlign w:val="center"/>
          </w:tcPr>
          <w:p w14:paraId="7D808FEF">
            <w:pPr>
              <w:widowControl/>
              <w:spacing w:before="156" w:beforeLines="50" w:after="156" w:afterLines="50"/>
              <w:jc w:val="center"/>
              <w:rPr>
                <w:rFonts w:ascii="宋体" w:hAnsi="宋体" w:eastAsia="宋体"/>
                <w:szCs w:val="21"/>
              </w:rPr>
            </w:pPr>
          </w:p>
        </w:tc>
        <w:tc>
          <w:tcPr>
            <w:tcW w:w="2115" w:type="dxa"/>
            <w:vAlign w:val="center"/>
          </w:tcPr>
          <w:p w14:paraId="481EC2C1">
            <w:pPr>
              <w:widowControl/>
              <w:spacing w:before="156" w:beforeLines="50" w:after="156" w:afterLines="50"/>
              <w:jc w:val="center"/>
              <w:rPr>
                <w:rFonts w:ascii="宋体" w:hAnsi="宋体" w:eastAsia="宋体"/>
                <w:szCs w:val="21"/>
              </w:rPr>
            </w:pPr>
            <w:r>
              <w:rPr>
                <w:rFonts w:hint="eastAsia" w:ascii="宋体" w:hAnsi="宋体" w:eastAsia="宋体"/>
                <w:lang w:val="en-US" w:eastAsia="zh-CN"/>
              </w:rPr>
              <w:t>需求供给与均衡价格</w:t>
            </w:r>
          </w:p>
        </w:tc>
        <w:tc>
          <w:tcPr>
            <w:tcW w:w="855" w:type="dxa"/>
            <w:vAlign w:val="center"/>
          </w:tcPr>
          <w:p w14:paraId="3E4758F8">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6</w:t>
            </w:r>
          </w:p>
        </w:tc>
        <w:tc>
          <w:tcPr>
            <w:tcW w:w="1030" w:type="dxa"/>
            <w:vAlign w:val="center"/>
          </w:tcPr>
          <w:p w14:paraId="522D0812">
            <w:pPr>
              <w:widowControl/>
              <w:spacing w:before="156" w:beforeLines="50" w:after="156" w:afterLines="50"/>
              <w:jc w:val="center"/>
              <w:rPr>
                <w:rFonts w:ascii="宋体" w:hAnsi="宋体" w:eastAsia="宋体"/>
                <w:szCs w:val="21"/>
              </w:rPr>
            </w:pPr>
          </w:p>
        </w:tc>
        <w:tc>
          <w:tcPr>
            <w:tcW w:w="904" w:type="dxa"/>
            <w:vAlign w:val="center"/>
          </w:tcPr>
          <w:p w14:paraId="249B7C8C">
            <w:pPr>
              <w:widowControl/>
              <w:spacing w:before="156" w:beforeLines="50" w:after="156" w:afterLines="50"/>
              <w:jc w:val="center"/>
              <w:rPr>
                <w:rFonts w:ascii="宋体" w:hAnsi="宋体" w:eastAsia="宋体"/>
                <w:szCs w:val="21"/>
              </w:rPr>
            </w:pPr>
          </w:p>
        </w:tc>
      </w:tr>
      <w:tr w14:paraId="77CA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0628A01F">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rPr>
              <w:t>4</w:t>
            </w:r>
            <w:r>
              <w:rPr>
                <w:rFonts w:ascii="宋体" w:hAnsi="宋体" w:eastAsia="宋体"/>
                <w:szCs w:val="21"/>
              </w:rPr>
              <w:t>-</w:t>
            </w:r>
            <w:r>
              <w:rPr>
                <w:rFonts w:hint="eastAsia" w:ascii="宋体" w:hAnsi="宋体" w:eastAsia="宋体"/>
                <w:szCs w:val="21"/>
                <w:lang w:val="en-US" w:eastAsia="zh-CN"/>
              </w:rPr>
              <w:t>5</w:t>
            </w:r>
          </w:p>
        </w:tc>
        <w:tc>
          <w:tcPr>
            <w:tcW w:w="820" w:type="dxa"/>
            <w:vAlign w:val="center"/>
          </w:tcPr>
          <w:p w14:paraId="5F936FBF">
            <w:pPr>
              <w:widowControl/>
              <w:spacing w:before="156" w:beforeLines="50" w:after="156" w:afterLines="50"/>
              <w:jc w:val="center"/>
              <w:rPr>
                <w:rFonts w:ascii="宋体" w:hAnsi="宋体" w:eastAsia="宋体"/>
                <w:szCs w:val="21"/>
              </w:rPr>
            </w:pPr>
          </w:p>
        </w:tc>
        <w:tc>
          <w:tcPr>
            <w:tcW w:w="2115" w:type="dxa"/>
            <w:vAlign w:val="center"/>
          </w:tcPr>
          <w:p w14:paraId="3632CBDA">
            <w:pPr>
              <w:widowControl/>
              <w:spacing w:before="156" w:beforeLines="50" w:after="156" w:afterLines="50"/>
              <w:jc w:val="center"/>
              <w:rPr>
                <w:rFonts w:ascii="宋体" w:hAnsi="宋体" w:eastAsia="宋体"/>
                <w:szCs w:val="21"/>
              </w:rPr>
            </w:pPr>
            <w:r>
              <w:rPr>
                <w:rFonts w:hint="eastAsia" w:ascii="宋体" w:hAnsi="宋体" w:eastAsia="宋体"/>
                <w:lang w:val="en-US" w:eastAsia="zh-CN"/>
              </w:rPr>
              <w:t>消费者选择</w:t>
            </w:r>
          </w:p>
        </w:tc>
        <w:tc>
          <w:tcPr>
            <w:tcW w:w="855" w:type="dxa"/>
            <w:vAlign w:val="center"/>
          </w:tcPr>
          <w:p w14:paraId="3E63A6F6">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6</w:t>
            </w:r>
          </w:p>
        </w:tc>
        <w:tc>
          <w:tcPr>
            <w:tcW w:w="1030" w:type="dxa"/>
            <w:vAlign w:val="center"/>
          </w:tcPr>
          <w:p w14:paraId="1008F7B9">
            <w:pPr>
              <w:widowControl/>
              <w:spacing w:before="156" w:beforeLines="50" w:after="156" w:afterLines="50"/>
              <w:jc w:val="center"/>
              <w:rPr>
                <w:rFonts w:ascii="宋体" w:hAnsi="宋体" w:eastAsia="宋体"/>
                <w:szCs w:val="21"/>
              </w:rPr>
            </w:pPr>
          </w:p>
        </w:tc>
        <w:tc>
          <w:tcPr>
            <w:tcW w:w="904" w:type="dxa"/>
            <w:vAlign w:val="center"/>
          </w:tcPr>
          <w:p w14:paraId="43142B34">
            <w:pPr>
              <w:widowControl/>
              <w:spacing w:before="156" w:beforeLines="50" w:after="156" w:afterLines="50"/>
              <w:jc w:val="center"/>
              <w:rPr>
                <w:rFonts w:ascii="宋体" w:hAnsi="宋体" w:eastAsia="宋体"/>
                <w:szCs w:val="21"/>
              </w:rPr>
            </w:pPr>
          </w:p>
        </w:tc>
      </w:tr>
      <w:tr w14:paraId="5C37E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7725924">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6-8</w:t>
            </w:r>
          </w:p>
        </w:tc>
        <w:tc>
          <w:tcPr>
            <w:tcW w:w="820" w:type="dxa"/>
            <w:vAlign w:val="center"/>
          </w:tcPr>
          <w:p w14:paraId="68D2738C">
            <w:pPr>
              <w:widowControl/>
              <w:spacing w:before="156" w:beforeLines="50" w:after="156" w:afterLines="50"/>
              <w:jc w:val="center"/>
              <w:rPr>
                <w:rFonts w:ascii="宋体" w:hAnsi="宋体" w:eastAsia="宋体"/>
                <w:szCs w:val="21"/>
              </w:rPr>
            </w:pPr>
          </w:p>
        </w:tc>
        <w:tc>
          <w:tcPr>
            <w:tcW w:w="2115" w:type="dxa"/>
            <w:vAlign w:val="center"/>
          </w:tcPr>
          <w:p w14:paraId="6CA7A7E9">
            <w:pPr>
              <w:widowControl/>
              <w:spacing w:before="156" w:beforeLines="50" w:after="156" w:afterLines="50"/>
              <w:jc w:val="center"/>
              <w:rPr>
                <w:rFonts w:ascii="宋体" w:hAnsi="宋体" w:eastAsia="宋体"/>
                <w:szCs w:val="21"/>
              </w:rPr>
            </w:pPr>
            <w:r>
              <w:rPr>
                <w:rFonts w:hint="eastAsia" w:ascii="宋体" w:hAnsi="宋体" w:eastAsia="宋体"/>
                <w:lang w:val="en-US" w:eastAsia="zh-CN"/>
              </w:rPr>
              <w:t>企业的生产与成本</w:t>
            </w:r>
          </w:p>
        </w:tc>
        <w:tc>
          <w:tcPr>
            <w:tcW w:w="855" w:type="dxa"/>
            <w:vAlign w:val="center"/>
          </w:tcPr>
          <w:p w14:paraId="43C35FAB">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9</w:t>
            </w:r>
          </w:p>
        </w:tc>
        <w:tc>
          <w:tcPr>
            <w:tcW w:w="1030" w:type="dxa"/>
            <w:vAlign w:val="center"/>
          </w:tcPr>
          <w:p w14:paraId="393A0F18">
            <w:pPr>
              <w:widowControl/>
              <w:spacing w:before="156" w:beforeLines="50" w:after="156" w:afterLines="50"/>
              <w:jc w:val="center"/>
              <w:rPr>
                <w:rFonts w:ascii="宋体" w:hAnsi="宋体" w:eastAsia="宋体"/>
                <w:szCs w:val="21"/>
              </w:rPr>
            </w:pPr>
          </w:p>
        </w:tc>
        <w:tc>
          <w:tcPr>
            <w:tcW w:w="904" w:type="dxa"/>
            <w:vAlign w:val="center"/>
          </w:tcPr>
          <w:p w14:paraId="0361DBBF">
            <w:pPr>
              <w:widowControl/>
              <w:spacing w:before="156" w:beforeLines="50" w:after="156" w:afterLines="50"/>
              <w:jc w:val="center"/>
              <w:rPr>
                <w:rFonts w:ascii="宋体" w:hAnsi="宋体" w:eastAsia="宋体"/>
                <w:szCs w:val="21"/>
              </w:rPr>
            </w:pPr>
          </w:p>
        </w:tc>
      </w:tr>
      <w:tr w14:paraId="450AE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73D53244">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9</w:t>
            </w:r>
          </w:p>
        </w:tc>
        <w:tc>
          <w:tcPr>
            <w:tcW w:w="820" w:type="dxa"/>
            <w:vAlign w:val="center"/>
          </w:tcPr>
          <w:p w14:paraId="77D97417">
            <w:pPr>
              <w:widowControl/>
              <w:spacing w:before="156" w:beforeLines="50" w:after="156" w:afterLines="50"/>
              <w:jc w:val="center"/>
              <w:rPr>
                <w:rFonts w:ascii="宋体" w:hAnsi="宋体" w:eastAsia="宋体"/>
                <w:szCs w:val="21"/>
              </w:rPr>
            </w:pPr>
          </w:p>
        </w:tc>
        <w:tc>
          <w:tcPr>
            <w:tcW w:w="2115" w:type="dxa"/>
            <w:vAlign w:val="center"/>
          </w:tcPr>
          <w:p w14:paraId="2D80379B">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lang w:val="en-US" w:eastAsia="zh-CN"/>
              </w:rPr>
              <w:t>完全竞争市场的价格与产量的决定</w:t>
            </w:r>
          </w:p>
        </w:tc>
        <w:tc>
          <w:tcPr>
            <w:tcW w:w="855" w:type="dxa"/>
            <w:vAlign w:val="center"/>
          </w:tcPr>
          <w:p w14:paraId="0C4FFE75">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030" w:type="dxa"/>
            <w:vAlign w:val="center"/>
          </w:tcPr>
          <w:p w14:paraId="398C13FB">
            <w:pPr>
              <w:widowControl/>
              <w:spacing w:before="156" w:beforeLines="50" w:after="156" w:afterLines="50"/>
              <w:jc w:val="center"/>
              <w:rPr>
                <w:rFonts w:ascii="宋体" w:hAnsi="宋体" w:eastAsia="宋体"/>
                <w:szCs w:val="21"/>
              </w:rPr>
            </w:pPr>
          </w:p>
        </w:tc>
        <w:tc>
          <w:tcPr>
            <w:tcW w:w="904" w:type="dxa"/>
            <w:vAlign w:val="center"/>
          </w:tcPr>
          <w:p w14:paraId="548EFE15">
            <w:pPr>
              <w:widowControl/>
              <w:spacing w:before="156" w:beforeLines="50" w:after="156" w:afterLines="50"/>
              <w:jc w:val="center"/>
              <w:rPr>
                <w:rFonts w:ascii="宋体" w:hAnsi="宋体" w:eastAsia="宋体"/>
                <w:szCs w:val="21"/>
              </w:rPr>
            </w:pPr>
          </w:p>
        </w:tc>
      </w:tr>
      <w:tr w14:paraId="7B23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6D52D79">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10</w:t>
            </w:r>
          </w:p>
        </w:tc>
        <w:tc>
          <w:tcPr>
            <w:tcW w:w="820" w:type="dxa"/>
            <w:vAlign w:val="center"/>
          </w:tcPr>
          <w:p w14:paraId="1B3E64D5">
            <w:pPr>
              <w:widowControl/>
              <w:spacing w:before="156" w:beforeLines="50" w:after="156" w:afterLines="50"/>
              <w:jc w:val="center"/>
              <w:rPr>
                <w:rFonts w:ascii="宋体" w:hAnsi="宋体" w:eastAsia="宋体"/>
                <w:szCs w:val="21"/>
              </w:rPr>
            </w:pPr>
          </w:p>
        </w:tc>
        <w:tc>
          <w:tcPr>
            <w:tcW w:w="2115" w:type="dxa"/>
            <w:vAlign w:val="center"/>
          </w:tcPr>
          <w:p w14:paraId="43AF0C1B">
            <w:pPr>
              <w:widowControl/>
              <w:spacing w:before="156" w:beforeLines="50" w:after="156" w:afterLines="50"/>
              <w:jc w:val="center"/>
              <w:rPr>
                <w:rFonts w:ascii="宋体" w:hAnsi="宋体" w:eastAsia="宋体"/>
                <w:szCs w:val="21"/>
              </w:rPr>
            </w:pPr>
            <w:r>
              <w:rPr>
                <w:rFonts w:hint="eastAsia" w:ascii="宋体" w:hAnsi="宋体" w:eastAsia="宋体"/>
                <w:lang w:val="en-US" w:eastAsia="zh-CN"/>
              </w:rPr>
              <w:t>期中考试</w:t>
            </w:r>
          </w:p>
        </w:tc>
        <w:tc>
          <w:tcPr>
            <w:tcW w:w="855" w:type="dxa"/>
            <w:vAlign w:val="center"/>
          </w:tcPr>
          <w:p w14:paraId="46934EFA">
            <w:pPr>
              <w:widowControl/>
              <w:spacing w:before="156" w:beforeLines="50" w:after="156" w:afterLines="50"/>
              <w:jc w:val="center"/>
              <w:rPr>
                <w:rFonts w:ascii="宋体" w:hAnsi="宋体" w:eastAsia="宋体"/>
                <w:szCs w:val="21"/>
              </w:rPr>
            </w:pPr>
          </w:p>
        </w:tc>
        <w:tc>
          <w:tcPr>
            <w:tcW w:w="1030" w:type="dxa"/>
            <w:vAlign w:val="center"/>
          </w:tcPr>
          <w:p w14:paraId="1C49A636">
            <w:pPr>
              <w:widowControl/>
              <w:spacing w:before="156" w:beforeLines="50" w:after="156" w:afterLines="50"/>
              <w:jc w:val="center"/>
              <w:rPr>
                <w:rFonts w:ascii="宋体" w:hAnsi="宋体" w:eastAsia="宋体"/>
                <w:szCs w:val="21"/>
              </w:rPr>
            </w:pPr>
          </w:p>
        </w:tc>
        <w:tc>
          <w:tcPr>
            <w:tcW w:w="904" w:type="dxa"/>
            <w:vAlign w:val="center"/>
          </w:tcPr>
          <w:p w14:paraId="507A33D7">
            <w:pPr>
              <w:widowControl/>
              <w:spacing w:before="156" w:beforeLines="50" w:after="156" w:afterLines="50"/>
              <w:jc w:val="center"/>
              <w:rPr>
                <w:rFonts w:ascii="宋体" w:hAnsi="宋体" w:eastAsia="宋体"/>
                <w:szCs w:val="21"/>
              </w:rPr>
            </w:pPr>
          </w:p>
        </w:tc>
      </w:tr>
      <w:tr w14:paraId="21FEA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3834E15">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11</w:t>
            </w:r>
          </w:p>
        </w:tc>
        <w:tc>
          <w:tcPr>
            <w:tcW w:w="820" w:type="dxa"/>
            <w:vAlign w:val="center"/>
          </w:tcPr>
          <w:p w14:paraId="298BB606">
            <w:pPr>
              <w:widowControl/>
              <w:spacing w:before="156" w:beforeLines="50" w:after="156" w:afterLines="50"/>
              <w:jc w:val="center"/>
              <w:rPr>
                <w:rFonts w:ascii="宋体" w:hAnsi="宋体" w:eastAsia="宋体"/>
                <w:szCs w:val="21"/>
              </w:rPr>
            </w:pPr>
          </w:p>
        </w:tc>
        <w:tc>
          <w:tcPr>
            <w:tcW w:w="2115" w:type="dxa"/>
            <w:vAlign w:val="center"/>
          </w:tcPr>
          <w:p w14:paraId="74104FA7">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完全竞争市场的价格与产量的决定</w:t>
            </w:r>
          </w:p>
        </w:tc>
        <w:tc>
          <w:tcPr>
            <w:tcW w:w="855" w:type="dxa"/>
            <w:vAlign w:val="center"/>
          </w:tcPr>
          <w:p w14:paraId="04670241">
            <w:pPr>
              <w:widowControl/>
              <w:spacing w:before="156" w:beforeLines="50" w:after="156" w:afterLines="50"/>
              <w:jc w:val="center"/>
              <w:rPr>
                <w:rFonts w:ascii="宋体" w:hAnsi="宋体" w:eastAsia="宋体"/>
                <w:szCs w:val="21"/>
              </w:rPr>
            </w:pPr>
          </w:p>
        </w:tc>
        <w:tc>
          <w:tcPr>
            <w:tcW w:w="1030" w:type="dxa"/>
            <w:vAlign w:val="center"/>
          </w:tcPr>
          <w:p w14:paraId="49EF33D0">
            <w:pPr>
              <w:widowControl/>
              <w:spacing w:before="156" w:beforeLines="50" w:after="156" w:afterLines="50"/>
              <w:jc w:val="center"/>
              <w:rPr>
                <w:rFonts w:ascii="宋体" w:hAnsi="宋体" w:eastAsia="宋体"/>
                <w:szCs w:val="21"/>
              </w:rPr>
            </w:pPr>
          </w:p>
        </w:tc>
        <w:tc>
          <w:tcPr>
            <w:tcW w:w="904" w:type="dxa"/>
            <w:vAlign w:val="center"/>
          </w:tcPr>
          <w:p w14:paraId="0CFE981E">
            <w:pPr>
              <w:widowControl/>
              <w:spacing w:before="156" w:beforeLines="50" w:after="156" w:afterLines="50"/>
              <w:jc w:val="center"/>
              <w:rPr>
                <w:rFonts w:ascii="宋体" w:hAnsi="宋体" w:eastAsia="宋体"/>
                <w:szCs w:val="21"/>
              </w:rPr>
            </w:pPr>
          </w:p>
        </w:tc>
      </w:tr>
      <w:tr w14:paraId="51F4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352A3B0">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12-13</w:t>
            </w:r>
          </w:p>
          <w:p w14:paraId="345E519B">
            <w:pPr>
              <w:widowControl/>
              <w:spacing w:before="156" w:beforeLines="50" w:after="156" w:afterLines="50"/>
              <w:jc w:val="center"/>
              <w:rPr>
                <w:rFonts w:ascii="宋体" w:hAnsi="宋体" w:eastAsia="宋体"/>
                <w:szCs w:val="21"/>
              </w:rPr>
            </w:pPr>
          </w:p>
        </w:tc>
        <w:tc>
          <w:tcPr>
            <w:tcW w:w="820" w:type="dxa"/>
            <w:vAlign w:val="center"/>
          </w:tcPr>
          <w:p w14:paraId="216D89C4">
            <w:pPr>
              <w:widowControl/>
              <w:spacing w:before="156" w:beforeLines="50" w:after="156" w:afterLines="50"/>
              <w:jc w:val="center"/>
              <w:rPr>
                <w:rFonts w:ascii="宋体" w:hAnsi="宋体" w:eastAsia="宋体"/>
                <w:szCs w:val="21"/>
              </w:rPr>
            </w:pPr>
          </w:p>
        </w:tc>
        <w:tc>
          <w:tcPr>
            <w:tcW w:w="2115" w:type="dxa"/>
            <w:vAlign w:val="center"/>
          </w:tcPr>
          <w:p w14:paraId="024AF19C">
            <w:pPr>
              <w:widowControl/>
              <w:spacing w:before="156" w:beforeLines="50" w:after="156" w:afterLines="50"/>
              <w:jc w:val="center"/>
              <w:rPr>
                <w:rFonts w:ascii="宋体" w:hAnsi="宋体" w:eastAsia="宋体"/>
                <w:szCs w:val="21"/>
              </w:rPr>
            </w:pPr>
            <w:r>
              <w:rPr>
                <w:rFonts w:hint="eastAsia" w:ascii="宋体" w:hAnsi="宋体" w:eastAsia="宋体"/>
                <w:lang w:val="en-US" w:eastAsia="zh-CN"/>
              </w:rPr>
              <w:t>不完全竞争市场的价格与产量的决定</w:t>
            </w:r>
          </w:p>
        </w:tc>
        <w:tc>
          <w:tcPr>
            <w:tcW w:w="855" w:type="dxa"/>
            <w:vAlign w:val="center"/>
          </w:tcPr>
          <w:p w14:paraId="3FD078AA">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6</w:t>
            </w:r>
          </w:p>
        </w:tc>
        <w:tc>
          <w:tcPr>
            <w:tcW w:w="1030" w:type="dxa"/>
            <w:vAlign w:val="center"/>
          </w:tcPr>
          <w:p w14:paraId="3BB1DF29">
            <w:pPr>
              <w:widowControl/>
              <w:spacing w:before="156" w:beforeLines="50" w:after="156" w:afterLines="50"/>
              <w:jc w:val="center"/>
              <w:rPr>
                <w:rFonts w:ascii="宋体" w:hAnsi="宋体" w:eastAsia="宋体"/>
                <w:szCs w:val="21"/>
              </w:rPr>
            </w:pPr>
          </w:p>
        </w:tc>
        <w:tc>
          <w:tcPr>
            <w:tcW w:w="904" w:type="dxa"/>
            <w:vAlign w:val="center"/>
          </w:tcPr>
          <w:p w14:paraId="31CAF3B9">
            <w:pPr>
              <w:widowControl/>
              <w:spacing w:before="156" w:beforeLines="50" w:after="156" w:afterLines="50"/>
              <w:jc w:val="center"/>
              <w:rPr>
                <w:rFonts w:ascii="宋体" w:hAnsi="宋体" w:eastAsia="宋体"/>
                <w:szCs w:val="21"/>
              </w:rPr>
            </w:pPr>
          </w:p>
        </w:tc>
      </w:tr>
      <w:tr w14:paraId="3B06F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1CD20B4">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14</w:t>
            </w:r>
          </w:p>
        </w:tc>
        <w:tc>
          <w:tcPr>
            <w:tcW w:w="820" w:type="dxa"/>
            <w:vAlign w:val="center"/>
          </w:tcPr>
          <w:p w14:paraId="3D089587">
            <w:pPr>
              <w:widowControl/>
              <w:spacing w:before="156" w:beforeLines="50" w:after="156" w:afterLines="50"/>
              <w:jc w:val="center"/>
              <w:rPr>
                <w:rFonts w:ascii="宋体" w:hAnsi="宋体" w:eastAsia="宋体"/>
                <w:szCs w:val="21"/>
              </w:rPr>
            </w:pPr>
          </w:p>
        </w:tc>
        <w:tc>
          <w:tcPr>
            <w:tcW w:w="2115" w:type="dxa"/>
            <w:vAlign w:val="center"/>
          </w:tcPr>
          <w:p w14:paraId="567DFF08">
            <w:pPr>
              <w:widowControl/>
              <w:spacing w:before="156" w:beforeLines="50" w:after="156" w:afterLines="50"/>
              <w:jc w:val="center"/>
              <w:rPr>
                <w:rFonts w:ascii="宋体" w:hAnsi="宋体" w:eastAsia="宋体"/>
                <w:szCs w:val="21"/>
              </w:rPr>
            </w:pPr>
            <w:r>
              <w:rPr>
                <w:rFonts w:hint="eastAsia" w:ascii="宋体" w:hAnsi="宋体" w:eastAsia="宋体"/>
                <w:lang w:val="en-US" w:eastAsia="zh-CN"/>
              </w:rPr>
              <w:t>生产要素市场与收入分配</w:t>
            </w:r>
          </w:p>
        </w:tc>
        <w:tc>
          <w:tcPr>
            <w:tcW w:w="855" w:type="dxa"/>
            <w:vAlign w:val="center"/>
          </w:tcPr>
          <w:p w14:paraId="2060E4DD">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030" w:type="dxa"/>
            <w:vAlign w:val="center"/>
          </w:tcPr>
          <w:p w14:paraId="332BF94A">
            <w:pPr>
              <w:widowControl/>
              <w:spacing w:before="156" w:beforeLines="50" w:after="156" w:afterLines="50"/>
              <w:jc w:val="center"/>
              <w:rPr>
                <w:rFonts w:ascii="宋体" w:hAnsi="宋体" w:eastAsia="宋体"/>
                <w:szCs w:val="21"/>
              </w:rPr>
            </w:pPr>
          </w:p>
        </w:tc>
        <w:tc>
          <w:tcPr>
            <w:tcW w:w="904" w:type="dxa"/>
            <w:vAlign w:val="center"/>
          </w:tcPr>
          <w:p w14:paraId="713938BB">
            <w:pPr>
              <w:widowControl/>
              <w:spacing w:before="156" w:beforeLines="50" w:after="156" w:afterLines="50"/>
              <w:jc w:val="center"/>
              <w:rPr>
                <w:rFonts w:ascii="宋体" w:hAnsi="宋体" w:eastAsia="宋体"/>
                <w:szCs w:val="21"/>
              </w:rPr>
            </w:pPr>
          </w:p>
        </w:tc>
      </w:tr>
      <w:tr w14:paraId="63831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5971542">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15</w:t>
            </w:r>
          </w:p>
        </w:tc>
        <w:tc>
          <w:tcPr>
            <w:tcW w:w="820" w:type="dxa"/>
            <w:vAlign w:val="center"/>
          </w:tcPr>
          <w:p w14:paraId="36D1D59F">
            <w:pPr>
              <w:widowControl/>
              <w:spacing w:before="156" w:beforeLines="50" w:after="156" w:afterLines="50"/>
              <w:jc w:val="center"/>
              <w:rPr>
                <w:rFonts w:ascii="宋体" w:hAnsi="宋体" w:eastAsia="宋体"/>
                <w:szCs w:val="21"/>
              </w:rPr>
            </w:pPr>
          </w:p>
        </w:tc>
        <w:tc>
          <w:tcPr>
            <w:tcW w:w="2115" w:type="dxa"/>
            <w:vAlign w:val="center"/>
          </w:tcPr>
          <w:p w14:paraId="45DEF42F">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一般均衡与效率</w:t>
            </w:r>
          </w:p>
        </w:tc>
        <w:tc>
          <w:tcPr>
            <w:tcW w:w="855" w:type="dxa"/>
            <w:vAlign w:val="center"/>
          </w:tcPr>
          <w:p w14:paraId="45B8E9BE">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030" w:type="dxa"/>
            <w:vAlign w:val="center"/>
          </w:tcPr>
          <w:p w14:paraId="33F91055">
            <w:pPr>
              <w:widowControl/>
              <w:spacing w:before="156" w:beforeLines="50" w:after="156" w:afterLines="50"/>
              <w:jc w:val="center"/>
              <w:rPr>
                <w:rFonts w:ascii="宋体" w:hAnsi="宋体" w:eastAsia="宋体"/>
                <w:szCs w:val="21"/>
              </w:rPr>
            </w:pPr>
          </w:p>
        </w:tc>
        <w:tc>
          <w:tcPr>
            <w:tcW w:w="904" w:type="dxa"/>
            <w:vAlign w:val="center"/>
          </w:tcPr>
          <w:p w14:paraId="6C55EFD0">
            <w:pPr>
              <w:widowControl/>
              <w:spacing w:before="156" w:beforeLines="50" w:after="156" w:afterLines="50"/>
              <w:jc w:val="center"/>
              <w:rPr>
                <w:rFonts w:ascii="宋体" w:hAnsi="宋体" w:eastAsia="宋体"/>
                <w:szCs w:val="21"/>
              </w:rPr>
            </w:pPr>
          </w:p>
        </w:tc>
      </w:tr>
      <w:tr w14:paraId="30D96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D327F3C">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16-17</w:t>
            </w:r>
          </w:p>
        </w:tc>
        <w:tc>
          <w:tcPr>
            <w:tcW w:w="820" w:type="dxa"/>
            <w:vAlign w:val="center"/>
          </w:tcPr>
          <w:p w14:paraId="03522357">
            <w:pPr>
              <w:widowControl/>
              <w:spacing w:before="156" w:beforeLines="50" w:after="156" w:afterLines="50"/>
              <w:jc w:val="center"/>
              <w:rPr>
                <w:rFonts w:ascii="宋体" w:hAnsi="宋体" w:eastAsia="宋体"/>
                <w:szCs w:val="21"/>
              </w:rPr>
            </w:pPr>
          </w:p>
        </w:tc>
        <w:tc>
          <w:tcPr>
            <w:tcW w:w="2115" w:type="dxa"/>
            <w:vAlign w:val="center"/>
          </w:tcPr>
          <w:p w14:paraId="63B37953">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市场失灵与微观经济政策</w:t>
            </w:r>
          </w:p>
        </w:tc>
        <w:tc>
          <w:tcPr>
            <w:tcW w:w="855" w:type="dxa"/>
            <w:vAlign w:val="center"/>
          </w:tcPr>
          <w:p w14:paraId="24CBD385">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6</w:t>
            </w:r>
          </w:p>
        </w:tc>
        <w:tc>
          <w:tcPr>
            <w:tcW w:w="1030" w:type="dxa"/>
            <w:vAlign w:val="center"/>
          </w:tcPr>
          <w:p w14:paraId="667B9434">
            <w:pPr>
              <w:widowControl/>
              <w:spacing w:before="156" w:beforeLines="50" w:after="156" w:afterLines="50"/>
              <w:jc w:val="center"/>
              <w:rPr>
                <w:rFonts w:ascii="宋体" w:hAnsi="宋体" w:eastAsia="宋体"/>
                <w:szCs w:val="21"/>
              </w:rPr>
            </w:pPr>
          </w:p>
        </w:tc>
        <w:tc>
          <w:tcPr>
            <w:tcW w:w="904" w:type="dxa"/>
            <w:vAlign w:val="center"/>
          </w:tcPr>
          <w:p w14:paraId="29C6D05B">
            <w:pPr>
              <w:widowControl/>
              <w:spacing w:before="156" w:beforeLines="50" w:after="156" w:afterLines="50"/>
              <w:jc w:val="center"/>
              <w:rPr>
                <w:rFonts w:ascii="宋体" w:hAnsi="宋体" w:eastAsia="宋体"/>
                <w:szCs w:val="21"/>
              </w:rPr>
            </w:pPr>
          </w:p>
        </w:tc>
      </w:tr>
      <w:tr w14:paraId="1A6E8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7DD9D51B">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18</w:t>
            </w:r>
          </w:p>
        </w:tc>
        <w:tc>
          <w:tcPr>
            <w:tcW w:w="820" w:type="dxa"/>
            <w:vAlign w:val="center"/>
          </w:tcPr>
          <w:p w14:paraId="7AD341C7">
            <w:pPr>
              <w:widowControl/>
              <w:spacing w:before="156" w:beforeLines="50" w:after="156" w:afterLines="50"/>
              <w:jc w:val="center"/>
              <w:rPr>
                <w:rFonts w:ascii="宋体" w:hAnsi="宋体" w:eastAsia="宋体"/>
                <w:szCs w:val="21"/>
              </w:rPr>
            </w:pPr>
          </w:p>
        </w:tc>
        <w:tc>
          <w:tcPr>
            <w:tcW w:w="2115" w:type="dxa"/>
            <w:vAlign w:val="center"/>
          </w:tcPr>
          <w:p w14:paraId="16893935">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复习答疑</w:t>
            </w:r>
          </w:p>
        </w:tc>
        <w:tc>
          <w:tcPr>
            <w:tcW w:w="855" w:type="dxa"/>
            <w:vAlign w:val="center"/>
          </w:tcPr>
          <w:p w14:paraId="7933C675">
            <w:pPr>
              <w:widowControl/>
              <w:spacing w:before="156" w:beforeLines="50" w:after="156" w:afterLines="50"/>
              <w:jc w:val="center"/>
              <w:rPr>
                <w:rFonts w:hint="eastAsia" w:ascii="宋体" w:hAnsi="宋体" w:eastAsia="宋体"/>
                <w:szCs w:val="21"/>
                <w:lang w:val="en-US" w:eastAsia="zh-CN"/>
              </w:rPr>
            </w:pPr>
          </w:p>
        </w:tc>
        <w:tc>
          <w:tcPr>
            <w:tcW w:w="1030" w:type="dxa"/>
            <w:vAlign w:val="center"/>
          </w:tcPr>
          <w:p w14:paraId="2F0F4366">
            <w:pPr>
              <w:widowControl/>
              <w:spacing w:before="156" w:beforeLines="50" w:after="156" w:afterLines="50"/>
              <w:jc w:val="center"/>
              <w:rPr>
                <w:rFonts w:ascii="宋体" w:hAnsi="宋体" w:eastAsia="宋体"/>
                <w:szCs w:val="21"/>
              </w:rPr>
            </w:pPr>
          </w:p>
        </w:tc>
        <w:tc>
          <w:tcPr>
            <w:tcW w:w="904" w:type="dxa"/>
            <w:vAlign w:val="center"/>
          </w:tcPr>
          <w:p w14:paraId="548E81AE">
            <w:pPr>
              <w:widowControl/>
              <w:spacing w:before="156" w:beforeLines="50" w:after="156" w:afterLines="50"/>
              <w:jc w:val="center"/>
              <w:rPr>
                <w:rFonts w:ascii="宋体" w:hAnsi="宋体" w:eastAsia="宋体"/>
                <w:szCs w:val="21"/>
              </w:rPr>
            </w:pPr>
          </w:p>
        </w:tc>
      </w:tr>
    </w:tbl>
    <w:p w14:paraId="38555BEE">
      <w:pPr>
        <w:widowControl/>
        <w:spacing w:before="156" w:beforeLines="50" w:after="156" w:afterLines="50"/>
        <w:ind w:firstLine="562" w:firstLineChars="200"/>
        <w:jc w:val="left"/>
      </w:pPr>
      <w:r>
        <w:rPr>
          <w:rFonts w:hint="eastAsia" w:ascii="黑体" w:hAnsi="黑体" w:eastAsia="黑体"/>
          <w:b/>
          <w:sz w:val="28"/>
          <w:szCs w:val="28"/>
        </w:rPr>
        <w:t>六、教材及参考书目</w:t>
      </w:r>
    </w:p>
    <w:p w14:paraId="15067825">
      <w:pPr>
        <w:widowControl/>
        <w:spacing w:before="156" w:beforeLines="50" w:after="156" w:afterLines="50"/>
        <w:ind w:firstLine="422" w:firstLineChars="200"/>
        <w:jc w:val="left"/>
        <w:rPr>
          <w:rFonts w:hint="eastAsia" w:ascii="黑体" w:hAnsi="黑体" w:eastAsia="黑体" w:cs="黑体"/>
          <w:b/>
          <w:bCs/>
          <w:lang w:val="en-US" w:eastAsia="zh-CN"/>
        </w:rPr>
      </w:pPr>
      <w:r>
        <w:rPr>
          <w:rFonts w:hint="eastAsia" w:ascii="黑体" w:hAnsi="黑体" w:eastAsia="黑体" w:cs="黑体"/>
          <w:b/>
          <w:bCs/>
          <w:lang w:val="en-US" w:eastAsia="zh-CN"/>
        </w:rPr>
        <w:t>（一）教材</w:t>
      </w:r>
    </w:p>
    <w:p w14:paraId="3DB48E5B">
      <w:pPr>
        <w:widowControl/>
        <w:spacing w:before="156" w:beforeLines="50" w:after="156" w:afterLines="50"/>
        <w:ind w:firstLine="420" w:firstLineChars="200"/>
        <w:jc w:val="left"/>
        <w:rPr>
          <w:rFonts w:ascii="宋体" w:hAnsi="宋体" w:eastAsia="宋体"/>
        </w:rPr>
      </w:pPr>
      <w:r>
        <w:rPr>
          <w:rFonts w:hint="eastAsia" w:ascii="宋体" w:hAnsi="宋体" w:eastAsia="宋体"/>
          <w:lang w:val="en-US" w:eastAsia="zh-CN"/>
        </w:rPr>
        <w:t>马克思主义理论和建设工程重点教材，西方经济学（上册），高等教育出版社，2019年第二版。</w:t>
      </w:r>
    </w:p>
    <w:p w14:paraId="6528CAB7">
      <w:pPr>
        <w:widowControl/>
        <w:spacing w:before="156" w:beforeLines="50" w:after="156" w:afterLines="50"/>
        <w:ind w:firstLine="422" w:firstLineChars="200"/>
        <w:jc w:val="left"/>
        <w:rPr>
          <w:rFonts w:hint="default" w:ascii="宋体" w:hAnsi="宋体" w:eastAsia="宋体"/>
          <w:lang w:val="en-US" w:eastAsia="zh-CN"/>
        </w:rPr>
      </w:pPr>
      <w:r>
        <w:rPr>
          <w:rFonts w:hint="eastAsia" w:ascii="黑体" w:hAnsi="黑体" w:eastAsia="黑体" w:cs="黑体"/>
          <w:b/>
          <w:bCs/>
          <w:lang w:val="en-US" w:eastAsia="zh-CN"/>
        </w:rPr>
        <w:t>（二）参考书目</w:t>
      </w:r>
    </w:p>
    <w:p w14:paraId="3EBBB40C">
      <w:pPr>
        <w:widowControl/>
        <w:numPr>
          <w:ilvl w:val="0"/>
          <w:numId w:val="3"/>
        </w:numPr>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val="en-US" w:eastAsia="zh-CN"/>
        </w:rPr>
        <w:t xml:space="preserve">N.格里高利·曼昆. 经济学原理（上）.北京大学出版社，2022. </w:t>
      </w:r>
    </w:p>
    <w:p w14:paraId="4FEDBE07">
      <w:pPr>
        <w:widowControl/>
        <w:numPr>
          <w:ilvl w:val="0"/>
          <w:numId w:val="3"/>
        </w:numPr>
        <w:spacing w:before="156" w:beforeLines="50" w:after="156" w:afterLines="50"/>
        <w:ind w:left="0" w:leftChars="0" w:firstLine="420" w:firstLineChars="200"/>
        <w:jc w:val="left"/>
        <w:rPr>
          <w:rFonts w:hint="eastAsia" w:ascii="宋体" w:hAnsi="宋体" w:eastAsia="宋体"/>
          <w:lang w:val="en-US" w:eastAsia="zh-CN"/>
        </w:rPr>
      </w:pPr>
      <w:r>
        <w:rPr>
          <w:rFonts w:hint="eastAsia" w:ascii="宋体" w:hAnsi="宋体" w:eastAsia="宋体"/>
          <w:lang w:val="en-US" w:eastAsia="zh-CN"/>
        </w:rPr>
        <w:t>罗伯特·S.平狄克等. 微观经济学. 中国人民大学出版社，2020.</w:t>
      </w:r>
    </w:p>
    <w:p w14:paraId="48633EBD">
      <w:pPr>
        <w:widowControl/>
        <w:numPr>
          <w:ilvl w:val="0"/>
          <w:numId w:val="3"/>
        </w:numPr>
        <w:spacing w:before="156" w:beforeLines="50" w:after="156" w:afterLines="50"/>
        <w:ind w:left="0" w:leftChars="0" w:firstLine="420" w:firstLineChars="200"/>
        <w:jc w:val="left"/>
        <w:rPr>
          <w:rFonts w:hint="eastAsia" w:ascii="宋体" w:hAnsi="宋体" w:eastAsia="宋体"/>
          <w:lang w:val="en-US" w:eastAsia="zh-CN"/>
        </w:rPr>
      </w:pPr>
      <w:r>
        <w:rPr>
          <w:rFonts w:hint="eastAsia" w:ascii="宋体" w:hAnsi="宋体" w:eastAsia="宋体"/>
          <w:lang w:val="en-US" w:eastAsia="zh-CN"/>
        </w:rPr>
        <w:t>保罗·萨缪尔森，经济学（上），商务印书馆，2014.</w:t>
      </w:r>
    </w:p>
    <w:p w14:paraId="29A32BC5">
      <w:pPr>
        <w:widowControl/>
        <w:numPr>
          <w:ilvl w:val="0"/>
          <w:numId w:val="3"/>
        </w:numPr>
        <w:spacing w:before="156" w:beforeLines="50" w:after="156" w:afterLines="50"/>
        <w:ind w:left="0" w:leftChars="0" w:firstLine="420" w:firstLineChars="200"/>
        <w:jc w:val="left"/>
        <w:rPr>
          <w:rFonts w:hint="eastAsia" w:ascii="宋体" w:hAnsi="宋体" w:eastAsia="宋体"/>
          <w:lang w:val="en-US" w:eastAsia="zh-CN"/>
        </w:rPr>
      </w:pPr>
      <w:r>
        <w:rPr>
          <w:rFonts w:hint="eastAsia" w:ascii="宋体" w:hAnsi="宋体" w:eastAsia="宋体"/>
          <w:lang w:val="en-US" w:eastAsia="zh-CN"/>
        </w:rPr>
        <w:t>吴汉洪主编，《西方经济学》习题与解答，高等教育出版社，2012.</w:t>
      </w:r>
    </w:p>
    <w:p w14:paraId="690FCF85">
      <w:pPr>
        <w:widowControl/>
        <w:numPr>
          <w:ilvl w:val="0"/>
          <w:numId w:val="4"/>
        </w:numPr>
        <w:spacing w:before="156" w:beforeLines="50" w:after="156" w:afterLines="50"/>
        <w:ind w:firstLine="422" w:firstLineChars="200"/>
        <w:jc w:val="left"/>
        <w:rPr>
          <w:rFonts w:hint="eastAsia" w:ascii="黑体" w:hAnsi="黑体" w:eastAsia="黑体" w:cs="黑体"/>
          <w:b/>
          <w:bCs/>
          <w:lang w:val="en-US" w:eastAsia="zh-CN"/>
        </w:rPr>
      </w:pPr>
      <w:r>
        <w:rPr>
          <w:rFonts w:hint="eastAsia" w:ascii="黑体" w:hAnsi="黑体" w:eastAsia="黑体" w:cs="黑体"/>
          <w:b/>
          <w:bCs/>
          <w:lang w:val="en-US" w:eastAsia="zh-CN"/>
        </w:rPr>
        <w:t>电子学习资源</w:t>
      </w:r>
    </w:p>
    <w:p w14:paraId="5BFCBD26">
      <w:pPr>
        <w:widowControl/>
        <w:numPr>
          <w:ilvl w:val="0"/>
          <w:numId w:val="0"/>
        </w:numPr>
        <w:spacing w:before="156" w:beforeLines="50" w:after="156" w:afterLines="50"/>
        <w:ind w:leftChars="200"/>
        <w:jc w:val="left"/>
        <w:rPr>
          <w:rFonts w:hint="default" w:ascii="Times New Roman" w:hAnsi="Times New Roman" w:eastAsia="宋体" w:cs="Times New Roman"/>
          <w:lang w:val="en-US" w:eastAsia="zh-CN"/>
        </w:rPr>
      </w:pPr>
      <w:r>
        <w:rPr>
          <w:rFonts w:hint="eastAsia" w:ascii="宋体" w:hAnsi="宋体" w:eastAsia="宋体"/>
          <w:lang w:val="en-US" w:eastAsia="zh-CN"/>
        </w:rPr>
        <w:t>1.中国大学</w:t>
      </w:r>
      <w:r>
        <w:rPr>
          <w:rFonts w:hint="default" w:ascii="Times New Roman" w:hAnsi="Times New Roman" w:eastAsia="宋体" w:cs="Times New Roman"/>
          <w:lang w:val="en-US" w:eastAsia="zh-CN"/>
        </w:rPr>
        <w:t>MOOC</w:t>
      </w:r>
      <w:r>
        <w:rPr>
          <w:rFonts w:hint="eastAsia" w:ascii="宋体" w:hAnsi="宋体" w:eastAsia="宋体"/>
          <w:lang w:val="en-US" w:eastAsia="zh-CN"/>
        </w:rPr>
        <w:t xml:space="preserve">: </w:t>
      </w:r>
      <w:r>
        <w:rPr>
          <w:rFonts w:hint="eastAsia" w:ascii="Times New Roman" w:hAnsi="Times New Roman" w:eastAsia="宋体" w:cs="Times New Roman"/>
          <w:lang w:val="en-US" w:eastAsia="zh-CN"/>
        </w:rPr>
        <w:fldChar w:fldCharType="begin"/>
      </w:r>
      <w:r>
        <w:rPr>
          <w:rFonts w:hint="eastAsia" w:ascii="Times New Roman" w:hAnsi="Times New Roman" w:eastAsia="宋体" w:cs="Times New Roman"/>
          <w:lang w:val="en-US" w:eastAsia="zh-CN"/>
        </w:rPr>
        <w:instrText xml:space="preserve"> HYPERLINK "http://WWW.ICOURSE163.ORG" </w:instrText>
      </w:r>
      <w:r>
        <w:rPr>
          <w:rFonts w:hint="eastAsia" w:ascii="Times New Roman" w:hAnsi="Times New Roman" w:eastAsia="宋体" w:cs="Times New Roman"/>
          <w:lang w:val="en-US" w:eastAsia="zh-CN"/>
        </w:rPr>
        <w:fldChar w:fldCharType="separate"/>
      </w:r>
      <w:r>
        <w:rPr>
          <w:rStyle w:val="10"/>
          <w:rFonts w:hint="eastAsia" w:ascii="Times New Roman" w:hAnsi="Times New Roman" w:eastAsia="宋体" w:cs="Times New Roman"/>
          <w:lang w:val="en-US" w:eastAsia="zh-CN"/>
        </w:rPr>
        <w:t>WWW.ICOURSE163.ORG</w:t>
      </w:r>
      <w:r>
        <w:rPr>
          <w:rFonts w:hint="eastAsia" w:ascii="Times New Roman" w:hAnsi="Times New Roman" w:eastAsia="宋体" w:cs="Times New Roman"/>
          <w:lang w:val="en-US" w:eastAsia="zh-CN"/>
        </w:rPr>
        <w:fldChar w:fldCharType="end"/>
      </w:r>
    </w:p>
    <w:p w14:paraId="535421C9">
      <w:pPr>
        <w:widowControl/>
        <w:numPr>
          <w:ilvl w:val="0"/>
          <w:numId w:val="0"/>
        </w:numPr>
        <w:spacing w:before="156" w:beforeLines="50" w:after="156" w:afterLines="50"/>
        <w:ind w:leftChars="200"/>
        <w:jc w:val="left"/>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2.国家精品课程在线学习平台：http://www.xuetangx.com/</w:t>
      </w:r>
    </w:p>
    <w:p w14:paraId="59B62131">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 xml:space="preserve">    </w:t>
      </w:r>
      <w:r>
        <w:rPr>
          <w:rFonts w:hint="eastAsia" w:ascii="黑体" w:hAnsi="黑体" w:eastAsia="黑体"/>
          <w:b/>
          <w:sz w:val="28"/>
          <w:szCs w:val="28"/>
          <w:lang w:val="en-US" w:eastAsia="zh-CN"/>
        </w:rPr>
        <w:t>七</w:t>
      </w:r>
      <w:r>
        <w:rPr>
          <w:rFonts w:hint="eastAsia" w:ascii="黑体" w:hAnsi="黑体" w:eastAsia="黑体"/>
          <w:b/>
          <w:sz w:val="28"/>
          <w:szCs w:val="28"/>
        </w:rPr>
        <w:t>、考核方式及评定方法</w:t>
      </w:r>
    </w:p>
    <w:p w14:paraId="34F39257">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14:paraId="7F41D11E">
      <w:pPr>
        <w:widowControl/>
        <w:spacing w:before="156" w:beforeLines="50" w:after="156" w:afterLines="50"/>
        <w:ind w:firstLine="420" w:firstLineChars="200"/>
        <w:jc w:val="left"/>
        <w:rPr>
          <w:rFonts w:hint="eastAsia" w:ascii="宋体" w:hAnsi="宋体" w:eastAsia="宋体" w:cs="宋体"/>
        </w:rPr>
      </w:pPr>
      <w:r>
        <w:rPr>
          <w:rFonts w:hint="eastAsia" w:ascii="宋体" w:hAnsi="宋体" w:eastAsia="宋体" w:cs="宋体"/>
        </w:rPr>
        <w:t xml:space="preserve"> 成绩评定方法： 平时出勤与课堂作业（10%），期中考试成绩（30%），期末考试成绩（60%）</w:t>
      </w:r>
    </w:p>
    <w:p w14:paraId="1B0070F9">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14:paraId="7AFACAB5">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7"/>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14:paraId="34789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14:paraId="023F822F">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59720570">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14:paraId="064774A8">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14:paraId="7E5308C6">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14:paraId="52849987">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14:paraId="4402A4C9">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14:paraId="61B15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14:paraId="1241A8C2">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14:paraId="7BF3CF39">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50%</w:t>
            </w:r>
          </w:p>
        </w:tc>
        <w:tc>
          <w:tcPr>
            <w:tcW w:w="1134" w:type="dxa"/>
            <w:shd w:val="clear" w:color="auto" w:fill="auto"/>
            <w:vAlign w:val="center"/>
          </w:tcPr>
          <w:p w14:paraId="5361B91D">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50%</w:t>
            </w:r>
          </w:p>
        </w:tc>
        <w:tc>
          <w:tcPr>
            <w:tcW w:w="1134" w:type="dxa"/>
            <w:vAlign w:val="center"/>
          </w:tcPr>
          <w:p w14:paraId="67076DAB">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50%</w:t>
            </w:r>
          </w:p>
        </w:tc>
        <w:tc>
          <w:tcPr>
            <w:tcW w:w="2627" w:type="dxa"/>
            <w:vMerge w:val="restart"/>
            <w:shd w:val="clear" w:color="auto" w:fill="auto"/>
            <w:vAlign w:val="center"/>
          </w:tcPr>
          <w:p w14:paraId="230714B0">
            <w:pPr>
              <w:spacing w:before="156" w:beforeLines="50" w:after="156" w:afterLines="50"/>
              <w:rPr>
                <w:rFonts w:ascii="宋体" w:hAnsi="宋体" w:eastAsia="宋体"/>
                <w:kern w:val="0"/>
                <w:szCs w:val="21"/>
              </w:rPr>
            </w:pPr>
            <w:r>
              <w:rPr>
                <w:rFonts w:hint="eastAsia" w:ascii="宋体" w:hAnsi="宋体" w:eastAsia="宋体"/>
                <w:kern w:val="0"/>
                <w:szCs w:val="21"/>
              </w:rPr>
              <w:t>课程</w:t>
            </w:r>
            <w:r>
              <w:rPr>
                <w:rFonts w:ascii="宋体" w:hAnsi="宋体" w:eastAsia="宋体"/>
                <w:kern w:val="0"/>
                <w:szCs w:val="21"/>
              </w:rPr>
              <w:t>目标</w:t>
            </w:r>
            <w:r>
              <w:rPr>
                <w:rFonts w:hint="eastAsia" w:ascii="宋体" w:hAnsi="宋体" w:eastAsia="宋体"/>
                <w:kern w:val="0"/>
                <w:szCs w:val="21"/>
              </w:rPr>
              <w:t>1</w:t>
            </w:r>
            <w:r>
              <w:rPr>
                <w:rFonts w:ascii="宋体" w:hAnsi="宋体" w:eastAsia="宋体"/>
                <w:kern w:val="0"/>
                <w:szCs w:val="21"/>
              </w:rPr>
              <w:t>达成度={0.</w:t>
            </w:r>
            <w:r>
              <w:rPr>
                <w:rFonts w:hint="eastAsia" w:ascii="宋体" w:hAnsi="宋体" w:eastAsia="宋体"/>
                <w:kern w:val="0"/>
                <w:szCs w:val="21"/>
                <w:lang w:val="en-US" w:eastAsia="zh-CN"/>
              </w:rPr>
              <w:t>1</w:t>
            </w:r>
            <w:r>
              <w:rPr>
                <w:rFonts w:ascii="宋体" w:hAnsi="宋体" w:eastAsia="宋体"/>
                <w:kern w:val="0"/>
                <w:szCs w:val="21"/>
              </w:rPr>
              <w:t>ｘ平时目标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lang w:val="en-US" w:eastAsia="zh-CN"/>
              </w:rPr>
              <w:t>3</w:t>
            </w:r>
            <w:r>
              <w:rPr>
                <w:rFonts w:ascii="宋体" w:hAnsi="宋体" w:eastAsia="宋体"/>
                <w:kern w:val="0"/>
                <w:szCs w:val="21"/>
              </w:rPr>
              <w:t>ｘ期中目标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lang w:val="en-US" w:eastAsia="zh-CN"/>
              </w:rPr>
              <w:t>6</w:t>
            </w:r>
            <w:r>
              <w:rPr>
                <w:rFonts w:ascii="宋体" w:hAnsi="宋体" w:eastAsia="宋体"/>
                <w:kern w:val="0"/>
                <w:szCs w:val="21"/>
              </w:rPr>
              <w:t>ｘ期末目标</w:t>
            </w:r>
            <w:r>
              <w:rPr>
                <w:rFonts w:hint="eastAsia" w:ascii="宋体" w:hAnsi="宋体" w:eastAsia="宋体"/>
                <w:kern w:val="0"/>
                <w:szCs w:val="21"/>
              </w:rPr>
              <w:t>1</w:t>
            </w:r>
            <w:r>
              <w:rPr>
                <w:rFonts w:ascii="宋体" w:hAnsi="宋体" w:eastAsia="宋体"/>
                <w:kern w:val="0"/>
                <w:szCs w:val="21"/>
              </w:rPr>
              <w:t>成绩}/目标</w:t>
            </w:r>
            <w:r>
              <w:rPr>
                <w:rFonts w:hint="eastAsia" w:ascii="宋体" w:hAnsi="宋体" w:eastAsia="宋体"/>
                <w:kern w:val="0"/>
                <w:szCs w:val="21"/>
              </w:rPr>
              <w:t>1</w:t>
            </w:r>
            <w:r>
              <w:rPr>
                <w:rFonts w:ascii="宋体" w:hAnsi="宋体" w:eastAsia="宋体"/>
                <w:kern w:val="0"/>
                <w:szCs w:val="21"/>
              </w:rPr>
              <w:t>总分</w:t>
            </w:r>
            <w:r>
              <w:rPr>
                <w:rFonts w:hint="eastAsia" w:ascii="宋体" w:hAnsi="宋体" w:eastAsia="宋体"/>
                <w:kern w:val="0"/>
                <w:szCs w:val="21"/>
              </w:rPr>
              <w:t>。</w:t>
            </w:r>
          </w:p>
        </w:tc>
      </w:tr>
      <w:tr w14:paraId="0CCCB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14:paraId="6B3F9181">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14:paraId="00BDFF13">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30%</w:t>
            </w:r>
          </w:p>
        </w:tc>
        <w:tc>
          <w:tcPr>
            <w:tcW w:w="1134" w:type="dxa"/>
            <w:shd w:val="clear" w:color="auto" w:fill="auto"/>
            <w:vAlign w:val="center"/>
          </w:tcPr>
          <w:p w14:paraId="13EF1D19">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30%</w:t>
            </w:r>
          </w:p>
        </w:tc>
        <w:tc>
          <w:tcPr>
            <w:tcW w:w="1134" w:type="dxa"/>
            <w:vAlign w:val="center"/>
          </w:tcPr>
          <w:p w14:paraId="573C0D77">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30%</w:t>
            </w:r>
          </w:p>
        </w:tc>
        <w:tc>
          <w:tcPr>
            <w:tcW w:w="2627" w:type="dxa"/>
            <w:vMerge w:val="continue"/>
            <w:shd w:val="clear" w:color="auto" w:fill="auto"/>
            <w:vAlign w:val="center"/>
          </w:tcPr>
          <w:p w14:paraId="35DD7B37">
            <w:pPr>
              <w:spacing w:before="156" w:beforeLines="50" w:after="156" w:afterLines="50"/>
              <w:rPr>
                <w:rFonts w:ascii="宋体" w:hAnsi="宋体" w:eastAsia="宋体"/>
                <w:kern w:val="0"/>
                <w:szCs w:val="21"/>
              </w:rPr>
            </w:pPr>
          </w:p>
        </w:tc>
      </w:tr>
      <w:tr w14:paraId="6AE6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2536AC02">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14:paraId="3D7194B4">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20%</w:t>
            </w:r>
          </w:p>
        </w:tc>
        <w:tc>
          <w:tcPr>
            <w:tcW w:w="1134" w:type="dxa"/>
            <w:shd w:val="clear" w:color="auto" w:fill="auto"/>
            <w:vAlign w:val="center"/>
          </w:tcPr>
          <w:p w14:paraId="49629E46">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20%</w:t>
            </w:r>
          </w:p>
        </w:tc>
        <w:tc>
          <w:tcPr>
            <w:tcW w:w="1134" w:type="dxa"/>
            <w:vAlign w:val="center"/>
          </w:tcPr>
          <w:p w14:paraId="675EB7F2">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20%</w:t>
            </w:r>
          </w:p>
        </w:tc>
        <w:tc>
          <w:tcPr>
            <w:tcW w:w="2627" w:type="dxa"/>
            <w:vMerge w:val="continue"/>
            <w:shd w:val="clear" w:color="auto" w:fill="auto"/>
            <w:vAlign w:val="center"/>
          </w:tcPr>
          <w:p w14:paraId="37C3BAEC">
            <w:pPr>
              <w:spacing w:before="156" w:beforeLines="50" w:after="156" w:afterLines="50"/>
              <w:rPr>
                <w:rFonts w:ascii="宋体" w:hAnsi="宋体" w:eastAsia="宋体"/>
                <w:kern w:val="0"/>
                <w:szCs w:val="21"/>
              </w:rPr>
            </w:pPr>
          </w:p>
        </w:tc>
      </w:tr>
    </w:tbl>
    <w:p w14:paraId="22580F75">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1B8176"/>
    <w:multiLevelType w:val="singleLevel"/>
    <w:tmpl w:val="831B8176"/>
    <w:lvl w:ilvl="0" w:tentative="0">
      <w:start w:val="3"/>
      <w:numFmt w:val="chineseCounting"/>
      <w:suff w:val="nothing"/>
      <w:lvlText w:val="（%1）"/>
      <w:lvlJc w:val="left"/>
      <w:rPr>
        <w:rFonts w:hint="eastAsia"/>
      </w:rPr>
    </w:lvl>
  </w:abstractNum>
  <w:abstractNum w:abstractNumId="1">
    <w:nsid w:val="85132985"/>
    <w:multiLevelType w:val="singleLevel"/>
    <w:tmpl w:val="85132985"/>
    <w:lvl w:ilvl="0" w:tentative="0">
      <w:start w:val="1"/>
      <w:numFmt w:val="chineseCounting"/>
      <w:suff w:val="space"/>
      <w:lvlText w:val="第%1章"/>
      <w:lvlJc w:val="left"/>
      <w:rPr>
        <w:rFonts w:hint="eastAsia"/>
      </w:rPr>
    </w:lvl>
  </w:abstractNum>
  <w:abstractNum w:abstractNumId="2">
    <w:nsid w:val="2A11F1E8"/>
    <w:multiLevelType w:val="singleLevel"/>
    <w:tmpl w:val="2A11F1E8"/>
    <w:lvl w:ilvl="0" w:tentative="0">
      <w:start w:val="2"/>
      <w:numFmt w:val="decimal"/>
      <w:lvlText w:val="%1."/>
      <w:lvlJc w:val="left"/>
      <w:pPr>
        <w:tabs>
          <w:tab w:val="left" w:pos="312"/>
        </w:tabs>
        <w:ind w:left="420" w:leftChars="0" w:firstLine="0" w:firstLineChars="0"/>
      </w:pPr>
    </w:lvl>
  </w:abstractNum>
  <w:abstractNum w:abstractNumId="3">
    <w:nsid w:val="60F8D9AF"/>
    <w:multiLevelType w:val="singleLevel"/>
    <w:tmpl w:val="60F8D9AF"/>
    <w:lvl w:ilvl="0" w:tentative="0">
      <w:start w:val="1"/>
      <w:numFmt w:val="decimal"/>
      <w:suff w:val="space"/>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M5YjcxYzU4YTE0OThlODkwMmQ5MTJhYmE3OTMzZTAifQ=="/>
  </w:docVars>
  <w:rsids>
    <w:rsidRoot w:val="001E5724"/>
    <w:rsid w:val="00022CBB"/>
    <w:rsid w:val="00077A5F"/>
    <w:rsid w:val="000A400B"/>
    <w:rsid w:val="000F054A"/>
    <w:rsid w:val="001C25D8"/>
    <w:rsid w:val="001E5724"/>
    <w:rsid w:val="00242673"/>
    <w:rsid w:val="00285327"/>
    <w:rsid w:val="002A7568"/>
    <w:rsid w:val="00313A87"/>
    <w:rsid w:val="003206BD"/>
    <w:rsid w:val="00322986"/>
    <w:rsid w:val="0034254B"/>
    <w:rsid w:val="0038665C"/>
    <w:rsid w:val="004070CF"/>
    <w:rsid w:val="00443C38"/>
    <w:rsid w:val="00470FB4"/>
    <w:rsid w:val="005A0378"/>
    <w:rsid w:val="005A6FCB"/>
    <w:rsid w:val="00665621"/>
    <w:rsid w:val="006D367B"/>
    <w:rsid w:val="006E4F82"/>
    <w:rsid w:val="006F64C9"/>
    <w:rsid w:val="007639A2"/>
    <w:rsid w:val="007C379D"/>
    <w:rsid w:val="007C62ED"/>
    <w:rsid w:val="007E39E3"/>
    <w:rsid w:val="008128AD"/>
    <w:rsid w:val="008560E2"/>
    <w:rsid w:val="00886EBF"/>
    <w:rsid w:val="00972FA8"/>
    <w:rsid w:val="00974E8D"/>
    <w:rsid w:val="009D7163"/>
    <w:rsid w:val="00A03BBD"/>
    <w:rsid w:val="00A61EFD"/>
    <w:rsid w:val="00AA4570"/>
    <w:rsid w:val="00AA630A"/>
    <w:rsid w:val="00AE3D1A"/>
    <w:rsid w:val="00B03909"/>
    <w:rsid w:val="00B10760"/>
    <w:rsid w:val="00B40ECD"/>
    <w:rsid w:val="00B47312"/>
    <w:rsid w:val="00BA23F0"/>
    <w:rsid w:val="00C00798"/>
    <w:rsid w:val="00C54636"/>
    <w:rsid w:val="00CA53B2"/>
    <w:rsid w:val="00D02F99"/>
    <w:rsid w:val="00D13271"/>
    <w:rsid w:val="00D14471"/>
    <w:rsid w:val="00D330E1"/>
    <w:rsid w:val="00D417A1"/>
    <w:rsid w:val="00D504B7"/>
    <w:rsid w:val="00D715F7"/>
    <w:rsid w:val="00DD7B5F"/>
    <w:rsid w:val="00DE7849"/>
    <w:rsid w:val="00E05E8B"/>
    <w:rsid w:val="00E366AB"/>
    <w:rsid w:val="00E76E34"/>
    <w:rsid w:val="00ED7F81"/>
    <w:rsid w:val="00F56396"/>
    <w:rsid w:val="00FB77A1"/>
    <w:rsid w:val="00FC24B5"/>
    <w:rsid w:val="025A69BF"/>
    <w:rsid w:val="04CF7307"/>
    <w:rsid w:val="09307304"/>
    <w:rsid w:val="0D0522AA"/>
    <w:rsid w:val="121F5BBC"/>
    <w:rsid w:val="1ADF5D90"/>
    <w:rsid w:val="21453926"/>
    <w:rsid w:val="228757E3"/>
    <w:rsid w:val="24E816A0"/>
    <w:rsid w:val="29F104E9"/>
    <w:rsid w:val="2A0E0598"/>
    <w:rsid w:val="2B9D7E25"/>
    <w:rsid w:val="2BE743FB"/>
    <w:rsid w:val="2DA01E4F"/>
    <w:rsid w:val="41D8350E"/>
    <w:rsid w:val="41DD4AC8"/>
    <w:rsid w:val="41F0568C"/>
    <w:rsid w:val="4A3D4856"/>
    <w:rsid w:val="4D477799"/>
    <w:rsid w:val="5257381F"/>
    <w:rsid w:val="52D05180"/>
    <w:rsid w:val="533C2BDF"/>
    <w:rsid w:val="53417963"/>
    <w:rsid w:val="556C2493"/>
    <w:rsid w:val="5A102E50"/>
    <w:rsid w:val="5F8C772E"/>
    <w:rsid w:val="60095811"/>
    <w:rsid w:val="643F1E51"/>
    <w:rsid w:val="68AD515E"/>
    <w:rsid w:val="6B203367"/>
    <w:rsid w:val="73911437"/>
    <w:rsid w:val="7E0706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widowControl w:val="0"/>
      <w:adjustRightInd/>
      <w:snapToGrid/>
      <w:spacing w:after="0"/>
      <w:jc w:val="both"/>
    </w:pPr>
    <w:rPr>
      <w:rFonts w:ascii="Times New Roman" w:hAnsi="Times New Roman" w:eastAsia="宋体" w:cs="Times New Roman"/>
      <w:kern w:val="2"/>
      <w:sz w:val="24"/>
      <w:szCs w:val="24"/>
    </w:rPr>
  </w:style>
  <w:style w:type="paragraph" w:styleId="3">
    <w:name w:val="Plain Text"/>
    <w:basedOn w:val="1"/>
    <w:link w:val="11"/>
    <w:qFormat/>
    <w:uiPriority w:val="99"/>
    <w:rPr>
      <w:rFonts w:ascii="宋体" w:hAnsi="Courier New" w:eastAsia="宋体" w:cs="Times New Roman"/>
      <w:szCs w:val="20"/>
    </w:rPr>
  </w:style>
  <w:style w:type="paragraph" w:styleId="4">
    <w:name w:val="Balloon Text"/>
    <w:basedOn w:val="1"/>
    <w:link w:val="14"/>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qFormat/>
    <w:uiPriority w:val="99"/>
    <w:rPr>
      <w:color w:val="0000FF"/>
      <w:u w:val="single"/>
    </w:rPr>
  </w:style>
  <w:style w:type="character" w:customStyle="1" w:styleId="11">
    <w:name w:val="纯文本 字符"/>
    <w:basedOn w:val="9"/>
    <w:link w:val="3"/>
    <w:qFormat/>
    <w:uiPriority w:val="99"/>
    <w:rPr>
      <w:rFonts w:ascii="宋体" w:hAnsi="Courier New" w:eastAsia="宋体" w:cs="Times New Roman"/>
      <w:szCs w:val="20"/>
    </w:rPr>
  </w:style>
  <w:style w:type="character" w:customStyle="1" w:styleId="12">
    <w:name w:val="页眉 字符"/>
    <w:basedOn w:val="9"/>
    <w:link w:val="6"/>
    <w:qFormat/>
    <w:uiPriority w:val="99"/>
    <w:rPr>
      <w:sz w:val="18"/>
      <w:szCs w:val="18"/>
    </w:rPr>
  </w:style>
  <w:style w:type="character" w:customStyle="1" w:styleId="13">
    <w:name w:val="页脚 字符"/>
    <w:basedOn w:val="9"/>
    <w:link w:val="5"/>
    <w:qFormat/>
    <w:uiPriority w:val="99"/>
    <w:rPr>
      <w:sz w:val="18"/>
      <w:szCs w:val="18"/>
    </w:rPr>
  </w:style>
  <w:style w:type="character" w:customStyle="1" w:styleId="14">
    <w:name w:val="批注框文本 字符"/>
    <w:basedOn w:val="9"/>
    <w:link w:val="4"/>
    <w:semiHidden/>
    <w:qFormat/>
    <w:uiPriority w:val="99"/>
    <w:rPr>
      <w:sz w:val="18"/>
      <w:szCs w:val="18"/>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8</Pages>
  <Words>5334</Words>
  <Characters>5509</Characters>
  <Lines>13</Lines>
  <Paragraphs>3</Paragraphs>
  <TotalTime>16</TotalTime>
  <ScaleCrop>false</ScaleCrop>
  <LinksUpToDate>false</LinksUpToDate>
  <CharactersWithSpaces>5579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朱喜群</cp:lastModifiedBy>
  <cp:lastPrinted>2020-12-24T07:17:00Z</cp:lastPrinted>
  <dcterms:modified xsi:type="dcterms:W3CDTF">2024-08-29T03:50:56Z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B56F6D19C5CE4B5A906C79FB56E8E649_12</vt:lpwstr>
  </property>
</Properties>
</file>