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102EBFAB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07673" w:rsidRPr="00A07673">
        <w:rPr>
          <w:rFonts w:ascii="黑体" w:eastAsia="黑体" w:hAnsi="黑体" w:hint="eastAsia"/>
          <w:sz w:val="32"/>
          <w:szCs w:val="32"/>
        </w:rPr>
        <w:t>财务管理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5948EC76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393E386D" w:rsidR="00D13271" w:rsidRPr="00DD7B5F" w:rsidRDefault="00A07673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A07673">
              <w:rPr>
                <w:rFonts w:ascii="宋体" w:eastAsia="宋体" w:hAnsi="宋体" w:hint="eastAsia"/>
              </w:rPr>
              <w:t>Financial Management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69D46CC7" w:rsidR="00D13271" w:rsidRPr="00DD7B5F" w:rsidRDefault="00A07673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A07673">
              <w:rPr>
                <w:rFonts w:ascii="宋体" w:eastAsia="宋体" w:hAnsi="宋体" w:hint="eastAsia"/>
              </w:rPr>
              <w:t>HURM1006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22181A6" w:rsidR="00D13271" w:rsidRPr="00DD7B5F" w:rsidRDefault="001F754C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学科</w:t>
            </w:r>
            <w:r w:rsidR="00A07673" w:rsidRPr="00A07673">
              <w:rPr>
                <w:rFonts w:ascii="宋体" w:eastAsia="宋体" w:hAnsi="宋体" w:hint="eastAsia"/>
              </w:rPr>
              <w:t>基础课程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3C765706" w:rsidR="00D13271" w:rsidRPr="00DD7B5F" w:rsidRDefault="00A07673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A07673">
              <w:rPr>
                <w:rFonts w:ascii="宋体" w:eastAsia="宋体" w:hAnsi="宋体" w:hint="eastAsia"/>
              </w:rPr>
              <w:t>人力资源管理和物流管理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223177D0" w:rsidR="00D13271" w:rsidRPr="00DD7B5F" w:rsidRDefault="00564FBF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564FBF">
              <w:rPr>
                <w:rFonts w:ascii="宋体" w:eastAsia="宋体" w:hAnsi="宋体" w:hint="eastAsia"/>
              </w:rPr>
              <w:t>3.0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22BDD7C5" w:rsidR="00D13271" w:rsidRPr="00DD7B5F" w:rsidRDefault="00564FBF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564FBF"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4CF4A757" w:rsidR="00D13271" w:rsidRPr="00DD7B5F" w:rsidRDefault="00564FBF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尚贵华、林周周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3B0C2927" w:rsidR="00D13271" w:rsidRPr="00DD7B5F" w:rsidRDefault="00564FBF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564FBF">
              <w:rPr>
                <w:rFonts w:ascii="宋体" w:eastAsia="宋体" w:hAnsi="宋体" w:hint="eastAsia"/>
              </w:rPr>
              <w:t>2024年8月29日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4240EF8D" w:rsidR="00D13271" w:rsidRPr="00DD7B5F" w:rsidRDefault="00DC3CF0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王化成等编著，《财务管理学》（第9版</w:t>
            </w:r>
            <w:r w:rsidR="00B46ADC" w:rsidRPr="00195766">
              <w:rPr>
                <w:rFonts w:ascii="宋体" w:eastAsia="宋体" w:hAnsi="宋体" w:hint="eastAsia"/>
                <w:szCs w:val="21"/>
              </w:rPr>
              <w:t>·</w:t>
            </w:r>
            <w:r>
              <w:rPr>
                <w:rFonts w:ascii="宋体" w:eastAsia="宋体" w:hAnsi="宋体" w:hint="eastAsia"/>
              </w:rPr>
              <w:t>立体化数字教材版），中国人民大学出版社，2021年</w:t>
            </w:r>
          </w:p>
        </w:tc>
      </w:tr>
    </w:tbl>
    <w:p w14:paraId="17AEB187" w14:textId="68024389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00C7F6CA" w:rsidR="00E05E8B" w:rsidRPr="00F552ED" w:rsidRDefault="00E05E8B" w:rsidP="00DD7B5F">
      <w:pPr>
        <w:pStyle w:val="a3"/>
        <w:spacing w:beforeLines="50" w:before="156" w:afterLines="50" w:after="156"/>
        <w:ind w:firstLineChars="200" w:firstLine="482"/>
        <w:rPr>
          <w:rFonts w:ascii="黑体" w:eastAsia="黑体" w:hAnsi="黑体" w:cs="宋体" w:hint="eastAsia"/>
          <w:b/>
          <w:bCs/>
          <w:sz w:val="24"/>
          <w:szCs w:val="24"/>
        </w:rPr>
      </w:pPr>
      <w:r w:rsidRPr="00F552ED">
        <w:rPr>
          <w:rFonts w:ascii="黑体" w:eastAsia="黑体" w:hAnsi="黑体" w:cs="宋体" w:hint="eastAsia"/>
          <w:b/>
          <w:bCs/>
          <w:sz w:val="24"/>
          <w:szCs w:val="24"/>
        </w:rPr>
        <w:t>（一）总体目标</w:t>
      </w:r>
    </w:p>
    <w:p w14:paraId="7872384C" w14:textId="0A293D9D" w:rsidR="00E05E8B" w:rsidRPr="00FB77A1" w:rsidRDefault="007D7DE7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7D7DE7">
        <w:rPr>
          <w:rFonts w:hAnsi="宋体" w:cs="宋体" w:hint="eastAsia"/>
        </w:rPr>
        <w:t>通过财务管理课程的教学，使学生系统掌握财务管理的基本概念与范畴，基本原理和理论框架，掌握财务管理决策的基本方法，牢固树立财务管理的基本观念，培养和提高学生对财务管理的内容及意义的认识，提供必要的专业指导与训练。</w:t>
      </w:r>
    </w:p>
    <w:p w14:paraId="50E6B12C" w14:textId="12534361" w:rsidR="00E05E8B" w:rsidRPr="00F552ED" w:rsidRDefault="00E05E8B" w:rsidP="00DD7B5F">
      <w:pPr>
        <w:pStyle w:val="a3"/>
        <w:spacing w:beforeLines="50" w:before="156" w:afterLines="50" w:after="156"/>
        <w:ind w:firstLineChars="200" w:firstLine="482"/>
        <w:rPr>
          <w:rFonts w:hAnsi="宋体" w:cs="宋体" w:hint="eastAsia"/>
          <w:b/>
          <w:bCs/>
        </w:rPr>
      </w:pPr>
      <w:r w:rsidRPr="00F552ED">
        <w:rPr>
          <w:rFonts w:ascii="黑体" w:eastAsia="黑体" w:hAnsi="黑体" w:cs="宋体" w:hint="eastAsia"/>
          <w:b/>
          <w:bCs/>
          <w:sz w:val="24"/>
          <w:szCs w:val="24"/>
        </w:rPr>
        <w:t>（二）课程目标</w:t>
      </w:r>
    </w:p>
    <w:p w14:paraId="32D42746" w14:textId="72C1F3C0" w:rsidR="00CE0DF6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  <w:r w:rsidR="00CE0DF6">
        <w:rPr>
          <w:rFonts w:hAnsi="宋体" w:cs="宋体" w:hint="eastAsia"/>
          <w:b/>
        </w:rPr>
        <w:t>让学生</w:t>
      </w:r>
      <w:r w:rsidR="00CE0DF6" w:rsidRPr="00CE0DF6">
        <w:rPr>
          <w:rFonts w:hAnsi="宋体" w:cs="宋体" w:hint="eastAsia"/>
          <w:b/>
        </w:rPr>
        <w:t>掌握财务管理</w:t>
      </w:r>
      <w:r w:rsidR="00CE0DF6">
        <w:rPr>
          <w:rFonts w:hAnsi="宋体" w:cs="宋体" w:hint="eastAsia"/>
          <w:b/>
        </w:rPr>
        <w:t>的基础知识。</w:t>
      </w:r>
    </w:p>
    <w:p w14:paraId="53CB53C2" w14:textId="22F7BAD0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bookmarkStart w:id="0" w:name="_Hlk175956136"/>
      <w:r>
        <w:rPr>
          <w:rFonts w:hAnsi="宋体" w:cs="宋体" w:hint="eastAsia"/>
        </w:rPr>
        <w:t>1．1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总论</w:t>
      </w:r>
    </w:p>
    <w:p w14:paraId="3A592D51" w14:textId="18116A38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财务管理的价值观念</w:t>
      </w:r>
    </w:p>
    <w:p w14:paraId="7599EBF8" w14:textId="6F249F96" w:rsidR="00D46166" w:rsidRDefault="00D46166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</w:t>
      </w:r>
      <w:r w:rsidR="00EF6DAD">
        <w:rPr>
          <w:rFonts w:hAnsi="宋体" w:cs="宋体" w:hint="eastAsia"/>
        </w:rPr>
        <w:t>3</w:t>
      </w:r>
      <w:r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财务分析</w:t>
      </w:r>
    </w:p>
    <w:p w14:paraId="2CFE737E" w14:textId="381D4C43" w:rsidR="00D46166" w:rsidRDefault="00D46166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 w:rsidR="00EF6DAD">
        <w:rPr>
          <w:rFonts w:hAnsi="宋体" w:cs="宋体" w:hint="eastAsia"/>
        </w:rPr>
        <w:t>4</w:t>
      </w:r>
      <w:r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财务战略与预算</w:t>
      </w:r>
    </w:p>
    <w:p w14:paraId="38A17FEA" w14:textId="57037251" w:rsidR="00D46166" w:rsidRDefault="00D46166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</w:t>
      </w:r>
      <w:r w:rsidR="00EF6DAD">
        <w:rPr>
          <w:rFonts w:hAnsi="宋体" w:cs="宋体" w:hint="eastAsia"/>
        </w:rPr>
        <w:t>5</w:t>
      </w:r>
      <w:r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长期筹资方式</w:t>
      </w:r>
    </w:p>
    <w:p w14:paraId="0A2C4F3A" w14:textId="3126B6FD" w:rsidR="00E05E8B" w:rsidRDefault="00D46166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 w:rsidR="00EF6DAD">
        <w:rPr>
          <w:rFonts w:hAnsi="宋体" w:cs="宋体" w:hint="eastAsia"/>
        </w:rPr>
        <w:t>6</w:t>
      </w:r>
      <w:r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资本结构决策</w:t>
      </w:r>
    </w:p>
    <w:bookmarkEnd w:id="0"/>
    <w:p w14:paraId="60E80C88" w14:textId="2803ECF8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  <w:r w:rsidR="00CE0DF6">
        <w:rPr>
          <w:rFonts w:hAnsi="宋体" w:cs="宋体" w:hint="eastAsia"/>
          <w:b/>
        </w:rPr>
        <w:t>让</w:t>
      </w:r>
      <w:r w:rsidR="00CE0DF6" w:rsidRPr="00CE0DF6">
        <w:rPr>
          <w:rFonts w:hAnsi="宋体" w:cs="宋体" w:hint="eastAsia"/>
          <w:b/>
        </w:rPr>
        <w:t>学生</w:t>
      </w:r>
      <w:r w:rsidR="00CE0DF6">
        <w:rPr>
          <w:rFonts w:hAnsi="宋体" w:cs="宋体" w:hint="eastAsia"/>
          <w:b/>
        </w:rPr>
        <w:t>掌握财务管理的</w:t>
      </w:r>
      <w:r w:rsidR="00CE0DF6" w:rsidRPr="00CE0DF6">
        <w:rPr>
          <w:rFonts w:hAnsi="宋体" w:cs="宋体" w:hint="eastAsia"/>
          <w:b/>
        </w:rPr>
        <w:t>实践</w:t>
      </w:r>
      <w:r w:rsidR="00CE0DF6">
        <w:rPr>
          <w:rFonts w:hAnsi="宋体" w:cs="宋体" w:hint="eastAsia"/>
          <w:b/>
        </w:rPr>
        <w:t>案例。</w:t>
      </w:r>
    </w:p>
    <w:p w14:paraId="34417632" w14:textId="79190DE5" w:rsidR="00D46166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="00D46166">
        <w:rPr>
          <w:rFonts w:hAnsi="宋体" w:cs="宋体" w:hint="eastAsia"/>
        </w:rPr>
        <w:t xml:space="preserve">．1  </w:t>
      </w:r>
      <w:r w:rsidR="00040612">
        <w:rPr>
          <w:rFonts w:hAnsi="宋体" w:cs="宋体" w:hint="eastAsia"/>
        </w:rPr>
        <w:t>投资决策原理</w:t>
      </w:r>
    </w:p>
    <w:p w14:paraId="4E602CDC" w14:textId="4EE2DE60" w:rsidR="00D46166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="00D46166">
        <w:rPr>
          <w:rFonts w:hAnsi="宋体" w:cs="宋体" w:hint="eastAsia"/>
        </w:rPr>
        <w:t xml:space="preserve">．2  </w:t>
      </w:r>
      <w:r w:rsidR="00040612" w:rsidRPr="00040612">
        <w:rPr>
          <w:rFonts w:hAnsi="宋体" w:cs="宋体" w:hint="eastAsia"/>
        </w:rPr>
        <w:t>投资决策</w:t>
      </w:r>
      <w:r w:rsidR="00040612">
        <w:rPr>
          <w:rFonts w:hAnsi="宋体" w:cs="宋体" w:hint="eastAsia"/>
        </w:rPr>
        <w:t>实务</w:t>
      </w:r>
    </w:p>
    <w:p w14:paraId="5AA5E5D0" w14:textId="2E5CEBFD" w:rsidR="00D46166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="00D46166">
        <w:rPr>
          <w:rFonts w:hAnsi="宋体" w:cs="宋体" w:hint="eastAsia"/>
        </w:rPr>
        <w:t>．</w:t>
      </w:r>
      <w:r>
        <w:rPr>
          <w:rFonts w:hAnsi="宋体" w:cs="宋体" w:hint="eastAsia"/>
        </w:rPr>
        <w:t>3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短期资产管理</w:t>
      </w:r>
    </w:p>
    <w:p w14:paraId="296E3A00" w14:textId="1E3C0433" w:rsidR="00D46166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="00D46166">
        <w:rPr>
          <w:rFonts w:hAnsi="宋体" w:cs="宋体" w:hint="eastAsia"/>
        </w:rPr>
        <w:t>．</w:t>
      </w:r>
      <w:r>
        <w:rPr>
          <w:rFonts w:hAnsi="宋体" w:cs="宋体" w:hint="eastAsia"/>
        </w:rPr>
        <w:t>4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短期筹资管理</w:t>
      </w:r>
    </w:p>
    <w:p w14:paraId="04B3D8E3" w14:textId="75661B3B" w:rsidR="00D46166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2</w:t>
      </w:r>
      <w:r w:rsidR="00D46166">
        <w:rPr>
          <w:rFonts w:hAnsi="宋体" w:cs="宋体" w:hint="eastAsia"/>
        </w:rPr>
        <w:t>．</w:t>
      </w:r>
      <w:r>
        <w:rPr>
          <w:rFonts w:hAnsi="宋体" w:cs="宋体" w:hint="eastAsia"/>
        </w:rPr>
        <w:t>5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股利理论与政策</w:t>
      </w:r>
    </w:p>
    <w:p w14:paraId="5470BE36" w14:textId="75436E2F" w:rsidR="00E05E8B" w:rsidRDefault="00EF6DAD" w:rsidP="00D46166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</w:t>
      </w:r>
      <w:r w:rsidR="00D46166">
        <w:rPr>
          <w:rFonts w:hAnsi="宋体" w:cs="宋体" w:hint="eastAsia"/>
        </w:rPr>
        <w:t>．</w:t>
      </w:r>
      <w:r>
        <w:rPr>
          <w:rFonts w:hAnsi="宋体" w:cs="宋体" w:hint="eastAsia"/>
        </w:rPr>
        <w:t>6</w:t>
      </w:r>
      <w:r w:rsidR="00D46166">
        <w:rPr>
          <w:rFonts w:hAnsi="宋体" w:cs="宋体" w:hint="eastAsia"/>
        </w:rPr>
        <w:t xml:space="preserve">  </w:t>
      </w:r>
      <w:r w:rsidR="00040612">
        <w:rPr>
          <w:rFonts w:hAnsi="宋体" w:cs="宋体" w:hint="eastAsia"/>
        </w:rPr>
        <w:t>并购与重组</w:t>
      </w:r>
    </w:p>
    <w:p w14:paraId="043E0459" w14:textId="1F4CA939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6397480B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39511A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39511A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39511A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39511A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E05E8B" w:rsidRDefault="00E05E8B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069C89F6" w:rsidR="00E05E8B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</w:t>
            </w:r>
            <w:r w:rsidR="00AF1822">
              <w:rPr>
                <w:rFonts w:hAnsi="宋体" w:cs="宋体" w:hint="eastAsia"/>
              </w:rPr>
              <w:t>一</w:t>
            </w:r>
            <w:r>
              <w:rPr>
                <w:rFonts w:hAnsi="宋体" w:cs="宋体" w:hint="eastAsia"/>
              </w:rPr>
              <w:t>章</w:t>
            </w:r>
            <w:r w:rsidRPr="005C25EF">
              <w:rPr>
                <w:rFonts w:hAnsi="宋体" w:cs="宋体" w:hint="eastAsia"/>
              </w:rPr>
              <w:t xml:space="preserve"> 总论</w:t>
            </w:r>
          </w:p>
        </w:tc>
        <w:tc>
          <w:tcPr>
            <w:tcW w:w="2688" w:type="dxa"/>
            <w:vAlign w:val="center"/>
          </w:tcPr>
          <w:p w14:paraId="099652AF" w14:textId="1B841A25" w:rsidR="00E05E8B" w:rsidRDefault="00F96B3E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让学生</w:t>
            </w:r>
            <w:r w:rsidR="00FA05D3">
              <w:rPr>
                <w:rFonts w:hAnsi="宋体" w:cs="宋体" w:hint="eastAsia"/>
              </w:rPr>
              <w:t>了解</w:t>
            </w:r>
            <w:r>
              <w:rPr>
                <w:rFonts w:hAnsi="宋体" w:cs="宋体" w:hint="eastAsia"/>
              </w:rPr>
              <w:t>财务管理的概念、目标、环境等。</w:t>
            </w:r>
          </w:p>
        </w:tc>
      </w:tr>
      <w:tr w:rsidR="00205860" w14:paraId="29CE9FC3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7CD5D225" w14:textId="77777777" w:rsidR="00205860" w:rsidRDefault="00205860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1EBCC0E" w14:textId="3C5C746C" w:rsidR="00205860" w:rsidRDefault="00205860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3DFFFD3E" w14:textId="4FB51B7C" w:rsidR="00205860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Ansi="宋体" w:cs="宋体" w:hint="eastAsia"/>
              </w:rPr>
              <w:t>第</w:t>
            </w:r>
            <w:r w:rsidR="00AF1822">
              <w:rPr>
                <w:rFonts w:hAnsi="宋体" w:cs="宋体" w:hint="eastAsia"/>
              </w:rPr>
              <w:t>二</w:t>
            </w:r>
            <w:r w:rsidRPr="005C25EF">
              <w:rPr>
                <w:rFonts w:hAnsi="宋体" w:cs="宋体" w:hint="eastAsia"/>
              </w:rPr>
              <w:t xml:space="preserve">章 </w:t>
            </w:r>
            <w:bookmarkStart w:id="1" w:name="_Hlk175959769"/>
            <w:r w:rsidRPr="005C25EF">
              <w:rPr>
                <w:rFonts w:hAnsi="宋体" w:cs="宋体" w:hint="eastAsia"/>
              </w:rPr>
              <w:t>财务管理的价值观念</w:t>
            </w:r>
            <w:bookmarkEnd w:id="1"/>
          </w:p>
        </w:tc>
        <w:tc>
          <w:tcPr>
            <w:tcW w:w="2688" w:type="dxa"/>
            <w:vAlign w:val="center"/>
          </w:tcPr>
          <w:p w14:paraId="20A30A4B" w14:textId="75731A1A" w:rsidR="00205860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39511A">
              <w:rPr>
                <w:rFonts w:hAnsi="宋体" w:cs="宋体" w:hint="eastAsia"/>
              </w:rPr>
              <w:t>货币时间价值、风险报酬、证券投资等知识。</w:t>
            </w:r>
          </w:p>
        </w:tc>
      </w:tr>
      <w:tr w:rsidR="005C25EF" w14:paraId="0E71B9FA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513CBB15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1E1F0A5" w14:textId="3E2CA8DF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73D99F83" w14:textId="1267989A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三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2" w:name="_Hlk175959784"/>
            <w:r w:rsidRPr="00EB2E2E">
              <w:rPr>
                <w:rFonts w:hint="eastAsia"/>
              </w:rPr>
              <w:t>财务分析</w:t>
            </w:r>
            <w:bookmarkEnd w:id="2"/>
          </w:p>
        </w:tc>
        <w:tc>
          <w:tcPr>
            <w:tcW w:w="2688" w:type="dxa"/>
            <w:vAlign w:val="center"/>
          </w:tcPr>
          <w:p w14:paraId="7EC95FEB" w14:textId="4A406EE2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39511A">
              <w:rPr>
                <w:rFonts w:hAnsi="宋体" w:cs="宋体" w:hint="eastAsia"/>
              </w:rPr>
              <w:t>企业财务分析、比率分析法、财务趋势分析法等。</w:t>
            </w:r>
          </w:p>
        </w:tc>
      </w:tr>
      <w:tr w:rsidR="005C25EF" w14:paraId="5A0084F1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0F8E2AB4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C08F469" w14:textId="78B9498C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1.4</w:t>
            </w:r>
          </w:p>
        </w:tc>
        <w:tc>
          <w:tcPr>
            <w:tcW w:w="3118" w:type="dxa"/>
            <w:vAlign w:val="center"/>
          </w:tcPr>
          <w:p w14:paraId="5E9542C0" w14:textId="1D122576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四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3" w:name="_Hlk175959800"/>
            <w:r w:rsidRPr="00EB2E2E">
              <w:rPr>
                <w:rFonts w:hint="eastAsia"/>
              </w:rPr>
              <w:t>财务战略与预算</w:t>
            </w:r>
            <w:bookmarkEnd w:id="3"/>
          </w:p>
        </w:tc>
        <w:tc>
          <w:tcPr>
            <w:tcW w:w="2688" w:type="dxa"/>
            <w:vAlign w:val="center"/>
          </w:tcPr>
          <w:p w14:paraId="1F2E9B17" w14:textId="6AA1D28B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164BF9">
              <w:rPr>
                <w:rFonts w:hAnsi="宋体" w:cs="宋体" w:hint="eastAsia"/>
              </w:rPr>
              <w:t>财务战略、利润预算编制、财务状况预算</w:t>
            </w:r>
            <w:r w:rsidR="000E67C2">
              <w:rPr>
                <w:rFonts w:hAnsi="宋体" w:cs="宋体" w:hint="eastAsia"/>
              </w:rPr>
              <w:t>等。</w:t>
            </w:r>
          </w:p>
        </w:tc>
      </w:tr>
      <w:tr w:rsidR="005C25EF" w14:paraId="338CD5D3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06E8FF94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3A1745C" w14:textId="0C25A1B4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1.5</w:t>
            </w:r>
          </w:p>
        </w:tc>
        <w:tc>
          <w:tcPr>
            <w:tcW w:w="3118" w:type="dxa"/>
            <w:vAlign w:val="center"/>
          </w:tcPr>
          <w:p w14:paraId="53F9AB9D" w14:textId="4CD7D64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五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Pr="00EB2E2E">
              <w:rPr>
                <w:rFonts w:hint="eastAsia"/>
              </w:rPr>
              <w:t>长期筹资方式</w:t>
            </w:r>
          </w:p>
        </w:tc>
        <w:tc>
          <w:tcPr>
            <w:tcW w:w="2688" w:type="dxa"/>
            <w:vAlign w:val="center"/>
          </w:tcPr>
          <w:p w14:paraId="2C3976BC" w14:textId="77B60AD4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0E67C2">
              <w:rPr>
                <w:rFonts w:hAnsi="宋体" w:cs="宋体" w:hint="eastAsia"/>
              </w:rPr>
              <w:t>长期筹资、长期借款、债券、租赁、可转换债券、认股权证等。</w:t>
            </w:r>
          </w:p>
        </w:tc>
      </w:tr>
      <w:tr w:rsidR="005C25EF" w14:paraId="13682B18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4F455BC4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1.6</w:t>
            </w:r>
          </w:p>
        </w:tc>
        <w:tc>
          <w:tcPr>
            <w:tcW w:w="3118" w:type="dxa"/>
            <w:vAlign w:val="center"/>
          </w:tcPr>
          <w:p w14:paraId="74B6519E" w14:textId="4629991D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六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4" w:name="_Hlk175959837"/>
            <w:r w:rsidRPr="00EB2E2E">
              <w:rPr>
                <w:rFonts w:hint="eastAsia"/>
              </w:rPr>
              <w:t>资本结构决策</w:t>
            </w:r>
            <w:bookmarkEnd w:id="4"/>
          </w:p>
        </w:tc>
        <w:tc>
          <w:tcPr>
            <w:tcW w:w="2688" w:type="dxa"/>
            <w:vAlign w:val="center"/>
          </w:tcPr>
          <w:p w14:paraId="11660F5D" w14:textId="280B2B17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0E67C2">
              <w:rPr>
                <w:rFonts w:hAnsi="宋体" w:cs="宋体" w:hint="eastAsia"/>
              </w:rPr>
              <w:t>资本结构、资本成本、营业杠杆、财务杠杆、联合杠杆、资本结构决策等。</w:t>
            </w:r>
          </w:p>
        </w:tc>
      </w:tr>
      <w:tr w:rsidR="005C25EF" w14:paraId="08A86D07" w14:textId="77777777" w:rsidTr="0039511A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6F145A2F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七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Pr="00FD697A">
              <w:rPr>
                <w:rFonts w:hint="eastAsia"/>
              </w:rPr>
              <w:t>投资决策原理</w:t>
            </w:r>
          </w:p>
        </w:tc>
        <w:tc>
          <w:tcPr>
            <w:tcW w:w="2688" w:type="dxa"/>
            <w:vAlign w:val="center"/>
          </w:tcPr>
          <w:p w14:paraId="3DCD50FA" w14:textId="605CE4B1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0E67C2">
              <w:rPr>
                <w:rFonts w:hAnsi="宋体" w:cs="宋体" w:hint="eastAsia"/>
              </w:rPr>
              <w:t>企业投资的分类、投资项目现金流量的构成与计算等。</w:t>
            </w:r>
          </w:p>
        </w:tc>
      </w:tr>
      <w:tr w:rsidR="005C25EF" w14:paraId="030B2DE4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2AF7555D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D92A993" w14:textId="58577C8E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E804F9C" w14:textId="4F1A96C8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八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Pr="00FD697A">
              <w:rPr>
                <w:rFonts w:hint="eastAsia"/>
              </w:rPr>
              <w:t>投资决策实务</w:t>
            </w:r>
          </w:p>
        </w:tc>
        <w:tc>
          <w:tcPr>
            <w:tcW w:w="2688" w:type="dxa"/>
            <w:vAlign w:val="center"/>
          </w:tcPr>
          <w:p w14:paraId="0B7ADA08" w14:textId="6EEA0BBD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0E67C2">
              <w:rPr>
                <w:rFonts w:hAnsi="宋体" w:cs="宋体" w:hint="eastAsia"/>
              </w:rPr>
              <w:t>现金流量估计、税负与折旧、固定资产更新决策等。</w:t>
            </w:r>
          </w:p>
        </w:tc>
      </w:tr>
      <w:tr w:rsidR="005C25EF" w14:paraId="64978856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0A895111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0F7AEAD" w14:textId="231155DC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48F4F0D9" w14:textId="79E57BE9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九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5" w:name="_Hlk175959898"/>
            <w:r w:rsidRPr="00FD697A">
              <w:rPr>
                <w:rFonts w:hint="eastAsia"/>
              </w:rPr>
              <w:t>短期资产管理</w:t>
            </w:r>
            <w:bookmarkEnd w:id="5"/>
          </w:p>
        </w:tc>
        <w:tc>
          <w:tcPr>
            <w:tcW w:w="2688" w:type="dxa"/>
            <w:vAlign w:val="center"/>
          </w:tcPr>
          <w:p w14:paraId="77C8920A" w14:textId="2D880226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0E67C2">
              <w:rPr>
                <w:rFonts w:hAnsi="宋体" w:cs="宋体" w:hint="eastAsia"/>
              </w:rPr>
              <w:t>营运资本、短期金融资产、应收账款、存货等。</w:t>
            </w:r>
          </w:p>
        </w:tc>
      </w:tr>
      <w:tr w:rsidR="005C25EF" w14:paraId="4DE4B824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3FFDC051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4C7C104" w14:textId="051DEC71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2.4</w:t>
            </w:r>
          </w:p>
        </w:tc>
        <w:tc>
          <w:tcPr>
            <w:tcW w:w="3118" w:type="dxa"/>
            <w:vAlign w:val="center"/>
          </w:tcPr>
          <w:p w14:paraId="7E4464E8" w14:textId="7E7629C4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十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6" w:name="_Hlk175959917"/>
            <w:r w:rsidRPr="00FD697A">
              <w:rPr>
                <w:rFonts w:hint="eastAsia"/>
              </w:rPr>
              <w:t>短期筹资管理</w:t>
            </w:r>
            <w:bookmarkEnd w:id="6"/>
          </w:p>
        </w:tc>
        <w:tc>
          <w:tcPr>
            <w:tcW w:w="2688" w:type="dxa"/>
            <w:vAlign w:val="center"/>
          </w:tcPr>
          <w:p w14:paraId="20E009CD" w14:textId="58B276FB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4A2A16">
              <w:rPr>
                <w:rFonts w:hAnsi="宋体" w:cs="宋体" w:hint="eastAsia"/>
              </w:rPr>
              <w:t>短期筹资、自然性筹资、短期借款筹资、短期融资券等。</w:t>
            </w:r>
          </w:p>
        </w:tc>
      </w:tr>
      <w:tr w:rsidR="005C25EF" w14:paraId="00140665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3209A49D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6FCEFDB" w14:textId="09E1FBC5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2.5</w:t>
            </w:r>
          </w:p>
        </w:tc>
        <w:tc>
          <w:tcPr>
            <w:tcW w:w="3118" w:type="dxa"/>
            <w:vAlign w:val="center"/>
          </w:tcPr>
          <w:p w14:paraId="208A6FB7" w14:textId="5FBD7183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十一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7" w:name="_Hlk175959935"/>
            <w:r w:rsidRPr="00FD697A">
              <w:rPr>
                <w:rFonts w:hint="eastAsia"/>
              </w:rPr>
              <w:t>股利理论与政策</w:t>
            </w:r>
            <w:bookmarkEnd w:id="7"/>
          </w:p>
        </w:tc>
        <w:tc>
          <w:tcPr>
            <w:tcW w:w="2688" w:type="dxa"/>
            <w:vAlign w:val="center"/>
          </w:tcPr>
          <w:p w14:paraId="79EC7A12" w14:textId="42772DF4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8F45F3">
              <w:rPr>
                <w:rFonts w:hAnsi="宋体" w:cs="宋体" w:hint="eastAsia"/>
              </w:rPr>
              <w:t>公司利润分配、股利政策、股票分割、股票回购等。</w:t>
            </w:r>
          </w:p>
        </w:tc>
      </w:tr>
      <w:tr w:rsidR="005C25EF" w14:paraId="4E038CE5" w14:textId="77777777" w:rsidTr="0039511A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1E839E0C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2.6</w:t>
            </w:r>
          </w:p>
        </w:tc>
        <w:tc>
          <w:tcPr>
            <w:tcW w:w="3118" w:type="dxa"/>
            <w:vAlign w:val="center"/>
          </w:tcPr>
          <w:p w14:paraId="4475D85C" w14:textId="21D1F90E" w:rsidR="005C25EF" w:rsidRDefault="005C25EF" w:rsidP="0039511A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5C25EF">
              <w:rPr>
                <w:rFonts w:hint="eastAsia"/>
              </w:rPr>
              <w:t>第</w:t>
            </w:r>
            <w:r w:rsidR="00AF1822">
              <w:rPr>
                <w:rFonts w:hint="eastAsia"/>
              </w:rPr>
              <w:t>十二</w:t>
            </w:r>
            <w:r w:rsidRPr="005C25EF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bookmarkStart w:id="8" w:name="_Hlk175959954"/>
            <w:r w:rsidRPr="00FD697A">
              <w:rPr>
                <w:rFonts w:hint="eastAsia"/>
              </w:rPr>
              <w:t>并购与重组</w:t>
            </w:r>
            <w:bookmarkEnd w:id="8"/>
          </w:p>
        </w:tc>
        <w:tc>
          <w:tcPr>
            <w:tcW w:w="2688" w:type="dxa"/>
            <w:vAlign w:val="center"/>
          </w:tcPr>
          <w:p w14:paraId="77FA07A0" w14:textId="2796B243" w:rsidR="005C25EF" w:rsidRDefault="00900E09" w:rsidP="0039511A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 w:hint="eastAsia"/>
              </w:rPr>
            </w:pPr>
            <w:r w:rsidRPr="00900E09">
              <w:rPr>
                <w:rFonts w:hAnsi="宋体" w:cs="宋体" w:hint="eastAsia"/>
              </w:rPr>
              <w:t>让学生</w:t>
            </w:r>
            <w:r w:rsidR="00FA05D3" w:rsidRPr="00FA05D3">
              <w:rPr>
                <w:rFonts w:hAnsi="宋体" w:cs="宋体" w:hint="eastAsia"/>
              </w:rPr>
              <w:t>了解</w:t>
            </w:r>
            <w:r w:rsidR="008F45F3">
              <w:rPr>
                <w:rFonts w:hAnsi="宋体" w:cs="宋体" w:hint="eastAsia"/>
              </w:rPr>
              <w:t>公司并购、财务危机、企业重整、破产清算等。</w:t>
            </w:r>
          </w:p>
        </w:tc>
      </w:tr>
    </w:tbl>
    <w:p w14:paraId="3444B0FF" w14:textId="7EAD61EF" w:rsidR="007C62ED" w:rsidRPr="005B7E9D" w:rsidRDefault="007C62ED" w:rsidP="005B7E9D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38A248E3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总论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1ED3720D" w14:textId="3409064E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C6D9997" w14:textId="7617C9A1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B270D6">
        <w:rPr>
          <w:rFonts w:ascii="宋体" w:eastAsia="宋体" w:hAnsi="宋体" w:hint="eastAsia"/>
          <w:szCs w:val="21"/>
        </w:rPr>
        <w:t>理解财务管理的概念和主要观点。</w:t>
      </w:r>
    </w:p>
    <w:p w14:paraId="23AA182A" w14:textId="0E864E43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B270D6">
        <w:rPr>
          <w:rFonts w:ascii="宋体" w:eastAsia="宋体" w:hAnsi="宋体" w:hint="eastAsia"/>
          <w:szCs w:val="21"/>
        </w:rPr>
        <w:t>了解财务管理的环境。</w:t>
      </w:r>
    </w:p>
    <w:p w14:paraId="624B3B90" w14:textId="6BCCCCCD" w:rsidR="00956848" w:rsidRP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B270D6">
        <w:rPr>
          <w:rFonts w:ascii="宋体" w:eastAsia="宋体" w:hAnsi="宋体" w:hint="eastAsia"/>
          <w:szCs w:val="21"/>
        </w:rPr>
        <w:t>了解利息率的构成及其测算。</w:t>
      </w:r>
    </w:p>
    <w:p w14:paraId="30CB0F0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B3BEBF" w14:textId="1240A17D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>财务活动与财务关系。</w:t>
      </w:r>
    </w:p>
    <w:p w14:paraId="44B30307" w14:textId="378B48B8" w:rsidR="00956848" w:rsidRPr="00956848" w:rsidRDefault="00956848" w:rsidP="009568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>利息率的计算。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32A2142" w14:textId="4177D515" w:rsidR="00956848" w:rsidRDefault="0095684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财务管理的概念</w:t>
      </w:r>
    </w:p>
    <w:p w14:paraId="06D156BD" w14:textId="08CD11CA" w:rsidR="00956848" w:rsidRDefault="0095684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财务管理的目标</w:t>
      </w:r>
    </w:p>
    <w:p w14:paraId="1E663057" w14:textId="0548C968" w:rsidR="00956848" w:rsidRDefault="0095684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 xml:space="preserve"> 企业组织形式与财务经理</w:t>
      </w:r>
    </w:p>
    <w:p w14:paraId="2DBE413D" w14:textId="7E12E45D" w:rsidR="00956848" w:rsidRDefault="0095684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B270D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财务管理的环境</w:t>
      </w:r>
    </w:p>
    <w:p w14:paraId="40E04DAB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DE60842" w14:textId="480908E9" w:rsidR="00956848" w:rsidRPr="00313A87" w:rsidRDefault="0095684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7810616C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0B141E9" w14:textId="77777777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B3A47B4" w14:textId="2935F293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B270D6">
        <w:rPr>
          <w:rFonts w:ascii="宋体" w:eastAsia="宋体" w:hAnsi="宋体" w:cs="TimesNewRomanPSMT" w:hint="eastAsia"/>
          <w:color w:val="000000"/>
          <w:kern w:val="0"/>
          <w:szCs w:val="21"/>
        </w:rPr>
        <w:t>委托代理问题的主要表现形式是什么？</w:t>
      </w:r>
    </w:p>
    <w:p w14:paraId="05DDD036" w14:textId="76329242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B270D6">
        <w:rPr>
          <w:rFonts w:ascii="宋体" w:eastAsia="宋体" w:hAnsi="宋体" w:cs="TimesNewRomanPSMT" w:hint="eastAsia"/>
          <w:color w:val="000000"/>
          <w:kern w:val="0"/>
          <w:szCs w:val="21"/>
        </w:rPr>
        <w:t>财务经理的主要工作是什么？</w:t>
      </w:r>
    </w:p>
    <w:p w14:paraId="298958FF" w14:textId="31CA9395" w:rsidR="00956848" w:rsidRDefault="00956848" w:rsidP="00956848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B270D6">
        <w:rPr>
          <w:rFonts w:ascii="宋体" w:eastAsia="宋体" w:hAnsi="宋体" w:cs="TimesNewRomanPSMT" w:hint="eastAsia"/>
          <w:color w:val="000000"/>
          <w:kern w:val="0"/>
          <w:szCs w:val="21"/>
        </w:rPr>
        <w:t>利息率由哪些因素构成？如何测算？</w:t>
      </w:r>
    </w:p>
    <w:p w14:paraId="48F4075A" w14:textId="773DFD3F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财务管理的价值观念</w:t>
      </w:r>
    </w:p>
    <w:p w14:paraId="54CAE1F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64C55AB" w14:textId="1616C315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374617">
        <w:rPr>
          <w:rFonts w:ascii="宋体" w:eastAsia="宋体" w:hAnsi="宋体" w:hint="eastAsia"/>
          <w:szCs w:val="21"/>
        </w:rPr>
        <w:t>掌握货币时间价值的概念和相关计算方法。</w:t>
      </w:r>
    </w:p>
    <w:p w14:paraId="397F41C9" w14:textId="53A6115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374617">
        <w:rPr>
          <w:rFonts w:ascii="宋体" w:eastAsia="宋体" w:hAnsi="宋体" w:hint="eastAsia"/>
          <w:szCs w:val="21"/>
        </w:rPr>
        <w:t>掌握风险报酬的概念和计算。</w:t>
      </w:r>
    </w:p>
    <w:p w14:paraId="620B8C7E" w14:textId="48F8BC23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374617">
        <w:rPr>
          <w:rFonts w:ascii="宋体" w:eastAsia="宋体" w:hAnsi="宋体" w:hint="eastAsia"/>
          <w:szCs w:val="21"/>
        </w:rPr>
        <w:t>理解证券投资的种类、特点。</w:t>
      </w:r>
    </w:p>
    <w:p w14:paraId="70199AC2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152EE47" w14:textId="6D5C882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374617" w:rsidRPr="00374617">
        <w:rPr>
          <w:rFonts w:ascii="宋体" w:eastAsia="宋体" w:hAnsi="宋体" w:cs="宋体" w:hint="eastAsia"/>
          <w:color w:val="000000"/>
          <w:kern w:val="0"/>
          <w:szCs w:val="21"/>
        </w:rPr>
        <w:t>货币时间价值的</w:t>
      </w:r>
      <w:r w:rsidR="00374617">
        <w:rPr>
          <w:rFonts w:ascii="宋体" w:eastAsia="宋体" w:hAnsi="宋体" w:cs="宋体" w:hint="eastAsia"/>
          <w:color w:val="000000"/>
          <w:kern w:val="0"/>
          <w:szCs w:val="21"/>
        </w:rPr>
        <w:t>计算。</w:t>
      </w:r>
    </w:p>
    <w:p w14:paraId="058BDF8E" w14:textId="1922692C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374617" w:rsidRPr="00374617">
        <w:rPr>
          <w:rFonts w:ascii="宋体" w:eastAsia="宋体" w:hAnsi="宋体" w:cs="宋体" w:hint="eastAsia"/>
          <w:color w:val="000000"/>
          <w:kern w:val="0"/>
          <w:szCs w:val="21"/>
        </w:rPr>
        <w:t>风险报酬的</w:t>
      </w:r>
      <w:r w:rsidR="00374617">
        <w:rPr>
          <w:rFonts w:ascii="宋体" w:eastAsia="宋体" w:hAnsi="宋体" w:cs="宋体" w:hint="eastAsia"/>
          <w:color w:val="000000"/>
          <w:kern w:val="0"/>
          <w:szCs w:val="21"/>
        </w:rPr>
        <w:t>计算。</w:t>
      </w:r>
    </w:p>
    <w:p w14:paraId="620C022E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1BC9660" w14:textId="59028595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374617">
        <w:rPr>
          <w:rFonts w:ascii="宋体" w:eastAsia="宋体" w:hAnsi="宋体" w:cs="宋体" w:hint="eastAsia"/>
          <w:color w:val="000000"/>
          <w:kern w:val="0"/>
          <w:szCs w:val="21"/>
        </w:rPr>
        <w:t xml:space="preserve"> 货币时间价值</w:t>
      </w:r>
    </w:p>
    <w:p w14:paraId="3AE1976C" w14:textId="2A4BB93A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374617">
        <w:rPr>
          <w:rFonts w:ascii="宋体" w:eastAsia="宋体" w:hAnsi="宋体" w:cs="宋体" w:hint="eastAsia"/>
          <w:color w:val="000000"/>
          <w:kern w:val="0"/>
          <w:szCs w:val="21"/>
        </w:rPr>
        <w:t xml:space="preserve"> 风险与报酬</w:t>
      </w:r>
    </w:p>
    <w:p w14:paraId="7B7AED10" w14:textId="48E6FB0C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374617">
        <w:rPr>
          <w:rFonts w:ascii="宋体" w:eastAsia="宋体" w:hAnsi="宋体" w:cs="宋体" w:hint="eastAsia"/>
          <w:color w:val="000000"/>
          <w:kern w:val="0"/>
          <w:szCs w:val="21"/>
        </w:rPr>
        <w:t xml:space="preserve"> 证券估值</w:t>
      </w:r>
    </w:p>
    <w:p w14:paraId="4154C20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A4FC9B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337BB3A1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A701EE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101C427" w14:textId="2E5A8CEC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374617">
        <w:rPr>
          <w:rFonts w:ascii="宋体" w:eastAsia="宋体" w:hAnsi="宋体" w:cs="TimesNewRomanPSMT" w:hint="eastAsia"/>
          <w:color w:val="000000"/>
          <w:kern w:val="0"/>
          <w:szCs w:val="21"/>
        </w:rPr>
        <w:t>如何理解货币的时间价值？</w:t>
      </w:r>
    </w:p>
    <w:p w14:paraId="7BCEEAF3" w14:textId="58777B9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374617">
        <w:rPr>
          <w:rFonts w:ascii="宋体" w:eastAsia="宋体" w:hAnsi="宋体" w:cs="TimesNewRomanPSMT" w:hint="eastAsia"/>
          <w:color w:val="000000"/>
          <w:kern w:val="0"/>
          <w:szCs w:val="21"/>
        </w:rPr>
        <w:t>复利和单利有何区别？</w:t>
      </w:r>
    </w:p>
    <w:p w14:paraId="4C1863DD" w14:textId="7B3DAA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374617">
        <w:rPr>
          <w:rFonts w:ascii="宋体" w:eastAsia="宋体" w:hAnsi="宋体" w:cs="TimesNewRomanPSMT" w:hint="eastAsia"/>
          <w:color w:val="000000"/>
          <w:kern w:val="0"/>
          <w:szCs w:val="21"/>
        </w:rPr>
        <w:t>如何理解风险与报酬的关系？</w:t>
      </w:r>
    </w:p>
    <w:p w14:paraId="59E33A35" w14:textId="61A1766E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财务分析</w:t>
      </w:r>
    </w:p>
    <w:p w14:paraId="7D3CF4E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68CCA44" w14:textId="5DFC16AC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A443CB">
        <w:rPr>
          <w:rFonts w:ascii="宋体" w:eastAsia="宋体" w:hAnsi="宋体" w:hint="eastAsia"/>
          <w:szCs w:val="21"/>
        </w:rPr>
        <w:t>了解企业财务分析的作用和目的。</w:t>
      </w:r>
    </w:p>
    <w:p w14:paraId="023865F4" w14:textId="0237C66C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9176D">
        <w:rPr>
          <w:rFonts w:ascii="宋体" w:eastAsia="宋体" w:hAnsi="宋体" w:hint="eastAsia"/>
          <w:szCs w:val="21"/>
        </w:rPr>
        <w:t>正确运用比率分析法进行偿债能力、营运能力、盈利能力和发展能力的分析。</w:t>
      </w:r>
    </w:p>
    <w:p w14:paraId="48ABED8C" w14:textId="7A8A56E6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99176D">
        <w:rPr>
          <w:rFonts w:ascii="宋体" w:eastAsia="宋体" w:hAnsi="宋体" w:hint="eastAsia"/>
          <w:szCs w:val="21"/>
        </w:rPr>
        <w:t>理解财务综合分析法。</w:t>
      </w:r>
    </w:p>
    <w:p w14:paraId="06C4FEA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697779" w14:textId="76DF027C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840D05" w:rsidRPr="00840D05">
        <w:rPr>
          <w:rFonts w:ascii="宋体" w:eastAsia="宋体" w:hAnsi="宋体" w:cs="宋体" w:hint="eastAsia"/>
          <w:color w:val="000000"/>
          <w:kern w:val="0"/>
          <w:szCs w:val="21"/>
        </w:rPr>
        <w:t>偿债能力、营运能力、盈利能力和发展能力的分析</w:t>
      </w:r>
      <w:r w:rsidR="00840D0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F194901" w14:textId="3C581426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840D05">
        <w:rPr>
          <w:rFonts w:ascii="宋体" w:eastAsia="宋体" w:hAnsi="宋体" w:cs="宋体" w:hint="eastAsia"/>
          <w:color w:val="000000"/>
          <w:kern w:val="0"/>
          <w:szCs w:val="21"/>
        </w:rPr>
        <w:t>掌握企业财务趋势分析法。</w:t>
      </w:r>
    </w:p>
    <w:p w14:paraId="4812825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1FB27B" w14:textId="03D1D13D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840D05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财务分析概述</w:t>
      </w:r>
    </w:p>
    <w:p w14:paraId="200ECEDC" w14:textId="08A914A1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840D05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财务能力分析</w:t>
      </w:r>
    </w:p>
    <w:p w14:paraId="73228DE8" w14:textId="0A80DC18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第三节</w:t>
      </w:r>
      <w:r w:rsidR="00840D05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财务趋势分析</w:t>
      </w:r>
    </w:p>
    <w:p w14:paraId="0FAB0222" w14:textId="27AE3F81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财务综合分析</w:t>
      </w:r>
    </w:p>
    <w:p w14:paraId="2E7D87C7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0CEA454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3282E57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2AA9E0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67CBC5F" w14:textId="49FD123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FA2B16">
        <w:rPr>
          <w:rFonts w:ascii="宋体" w:eastAsia="宋体" w:hAnsi="宋体" w:cs="TimesNewRomanPSMT" w:hint="eastAsia"/>
          <w:color w:val="000000"/>
          <w:kern w:val="0"/>
          <w:szCs w:val="21"/>
        </w:rPr>
        <w:t>为什么说企业的营运能力可以反映其经营管理水平？</w:t>
      </w:r>
    </w:p>
    <w:p w14:paraId="3A5355D7" w14:textId="4A46B5C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FA2B16">
        <w:rPr>
          <w:rFonts w:ascii="宋体" w:eastAsia="宋体" w:hAnsi="宋体" w:cs="TimesNewRomanPSMT" w:hint="eastAsia"/>
          <w:color w:val="000000"/>
          <w:kern w:val="0"/>
          <w:szCs w:val="21"/>
        </w:rPr>
        <w:t>怎么理解股东权益报酬率是杜邦分析法的核心？</w:t>
      </w:r>
    </w:p>
    <w:p w14:paraId="2A10DDF7" w14:textId="76A92F3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FA2B16">
        <w:rPr>
          <w:rFonts w:ascii="宋体" w:eastAsia="宋体" w:hAnsi="宋体" w:cs="TimesNewRomanPSMT" w:hint="eastAsia"/>
          <w:color w:val="000000"/>
          <w:kern w:val="0"/>
          <w:szCs w:val="21"/>
        </w:rPr>
        <w:t>资产负债率的高低对债权人和股东会产生什么影响？</w:t>
      </w:r>
    </w:p>
    <w:p w14:paraId="604D518D" w14:textId="1BF246F3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财务战略与预算</w:t>
      </w:r>
    </w:p>
    <w:p w14:paraId="113E74F4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419693E" w14:textId="39BC426F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FA2B16">
        <w:rPr>
          <w:rFonts w:ascii="宋体" w:eastAsia="宋体" w:hAnsi="宋体" w:hint="eastAsia"/>
          <w:szCs w:val="21"/>
        </w:rPr>
        <w:t>理解财务战略的特征和类型。</w:t>
      </w:r>
    </w:p>
    <w:p w14:paraId="7DE736A0" w14:textId="566B6F19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FA2B16">
        <w:rPr>
          <w:rFonts w:ascii="宋体" w:eastAsia="宋体" w:hAnsi="宋体" w:hint="eastAsia"/>
          <w:szCs w:val="21"/>
        </w:rPr>
        <w:t>掌握</w:t>
      </w:r>
      <w:bookmarkStart w:id="9" w:name="_Hlk175962275"/>
      <w:r w:rsidR="00FA2B16">
        <w:rPr>
          <w:rFonts w:ascii="宋体" w:eastAsia="宋体" w:hAnsi="宋体" w:hint="eastAsia"/>
          <w:szCs w:val="21"/>
        </w:rPr>
        <w:t>利润预算的编制</w:t>
      </w:r>
      <w:bookmarkEnd w:id="9"/>
      <w:r w:rsidR="00FA2B16">
        <w:rPr>
          <w:rFonts w:ascii="宋体" w:eastAsia="宋体" w:hAnsi="宋体" w:hint="eastAsia"/>
          <w:szCs w:val="21"/>
        </w:rPr>
        <w:t>。</w:t>
      </w:r>
    </w:p>
    <w:p w14:paraId="2A27A6CA" w14:textId="36714874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FA2B16">
        <w:rPr>
          <w:rFonts w:ascii="宋体" w:eastAsia="宋体" w:hAnsi="宋体" w:hint="eastAsia"/>
          <w:szCs w:val="21"/>
        </w:rPr>
        <w:t>掌握</w:t>
      </w:r>
      <w:bookmarkStart w:id="10" w:name="_Hlk175962267"/>
      <w:r w:rsidR="00FA2B16">
        <w:rPr>
          <w:rFonts w:ascii="宋体" w:eastAsia="宋体" w:hAnsi="宋体" w:hint="eastAsia"/>
          <w:szCs w:val="21"/>
        </w:rPr>
        <w:t>财务状况预算的编制</w:t>
      </w:r>
      <w:bookmarkEnd w:id="10"/>
      <w:r w:rsidR="00FA2B16">
        <w:rPr>
          <w:rFonts w:ascii="宋体" w:eastAsia="宋体" w:hAnsi="宋体" w:hint="eastAsia"/>
          <w:szCs w:val="21"/>
        </w:rPr>
        <w:t>。</w:t>
      </w:r>
    </w:p>
    <w:p w14:paraId="4E36673A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822FFBA" w14:textId="523F14E0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FA2B16" w:rsidRPr="00FA2B16">
        <w:rPr>
          <w:rFonts w:ascii="宋体" w:eastAsia="宋体" w:hAnsi="宋体" w:cs="宋体" w:hint="eastAsia"/>
          <w:color w:val="000000"/>
          <w:kern w:val="0"/>
          <w:szCs w:val="21"/>
        </w:rPr>
        <w:t>财务状况预算的编制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1B94C61" w14:textId="5A68E247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FA2B16" w:rsidRPr="00FA2B16">
        <w:rPr>
          <w:rFonts w:ascii="宋体" w:eastAsia="宋体" w:hAnsi="宋体" w:cs="宋体" w:hint="eastAsia"/>
          <w:color w:val="000000"/>
          <w:kern w:val="0"/>
          <w:szCs w:val="21"/>
        </w:rPr>
        <w:t>利润预算的编制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CB3D57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121BB6" w14:textId="41E6BC11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财务战略</w:t>
      </w:r>
    </w:p>
    <w:p w14:paraId="53BE0642" w14:textId="142C503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财务预测</w:t>
      </w:r>
    </w:p>
    <w:p w14:paraId="58B5B03B" w14:textId="37C96382" w:rsidR="00CF49C1" w:rsidRDefault="00CF49C1" w:rsidP="00FA2B1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FA2B1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财务预算</w:t>
      </w:r>
    </w:p>
    <w:p w14:paraId="4D36BD72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80E9B7A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736F61B9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304DE36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3CCD7597" w14:textId="3265D73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060E88">
        <w:rPr>
          <w:rFonts w:ascii="宋体" w:eastAsia="宋体" w:hAnsi="宋体" w:cs="TimesNewRomanPSMT" w:hint="eastAsia"/>
          <w:color w:val="000000"/>
          <w:kern w:val="0"/>
          <w:szCs w:val="21"/>
        </w:rPr>
        <w:t>如何根据企业发展阶段安排财务战略？</w:t>
      </w:r>
    </w:p>
    <w:p w14:paraId="3124EFA2" w14:textId="508A6F5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060E88">
        <w:rPr>
          <w:rFonts w:ascii="宋体" w:eastAsia="宋体" w:hAnsi="宋体" w:cs="TimesNewRomanPSMT" w:hint="eastAsia"/>
          <w:color w:val="000000"/>
          <w:kern w:val="0"/>
          <w:szCs w:val="21"/>
        </w:rPr>
        <w:t>归纳说明财务状况预算的内容。</w:t>
      </w:r>
    </w:p>
    <w:p w14:paraId="7109E228" w14:textId="745A7A2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060E88">
        <w:rPr>
          <w:rFonts w:ascii="宋体" w:eastAsia="宋体" w:hAnsi="宋体" w:cs="TimesNewRomanPSMT" w:hint="eastAsia"/>
          <w:color w:val="000000"/>
          <w:kern w:val="0"/>
          <w:szCs w:val="21"/>
        </w:rPr>
        <w:t>归纳说明企业财务结构的类型。</w:t>
      </w:r>
    </w:p>
    <w:p w14:paraId="356723D0" w14:textId="30ECB426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长期筹资方式</w:t>
      </w:r>
    </w:p>
    <w:p w14:paraId="50D5A25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EC13A19" w14:textId="364BE19A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</w:t>
      </w:r>
      <w:r w:rsidR="009D1798">
        <w:rPr>
          <w:rFonts w:ascii="宋体" w:eastAsia="宋体" w:hAnsi="宋体" w:hint="eastAsia"/>
          <w:szCs w:val="21"/>
        </w:rPr>
        <w:t>理解</w:t>
      </w:r>
      <w:bookmarkStart w:id="11" w:name="_Hlk175962618"/>
      <w:r w:rsidR="009D1798">
        <w:rPr>
          <w:rFonts w:ascii="宋体" w:eastAsia="宋体" w:hAnsi="宋体" w:hint="eastAsia"/>
          <w:szCs w:val="21"/>
        </w:rPr>
        <w:t>长期筹资</w:t>
      </w:r>
      <w:bookmarkEnd w:id="11"/>
      <w:r w:rsidR="009D1798">
        <w:rPr>
          <w:rFonts w:ascii="宋体" w:eastAsia="宋体" w:hAnsi="宋体" w:hint="eastAsia"/>
          <w:szCs w:val="21"/>
        </w:rPr>
        <w:t>的动机、原则、渠道和类型。</w:t>
      </w:r>
    </w:p>
    <w:p w14:paraId="45DE92CB" w14:textId="16242E7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D1798">
        <w:rPr>
          <w:rFonts w:ascii="宋体" w:eastAsia="宋体" w:hAnsi="宋体" w:hint="eastAsia"/>
          <w:szCs w:val="21"/>
        </w:rPr>
        <w:t>掌握可转换债券的特性、期限和价格。</w:t>
      </w:r>
    </w:p>
    <w:p w14:paraId="06B25B0E" w14:textId="45CBC1B2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9D1798">
        <w:rPr>
          <w:rFonts w:ascii="宋体" w:eastAsia="宋体" w:hAnsi="宋体" w:hint="eastAsia"/>
          <w:szCs w:val="21"/>
        </w:rPr>
        <w:t>理解认股权证的含义、特点和作用。</w:t>
      </w:r>
    </w:p>
    <w:p w14:paraId="035BCB62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9610EA" w14:textId="56AC0A9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9D1798" w:rsidRPr="009D1798">
        <w:rPr>
          <w:rFonts w:ascii="宋体" w:eastAsia="宋体" w:hAnsi="宋体" w:cs="宋体" w:hint="eastAsia"/>
          <w:color w:val="000000"/>
          <w:kern w:val="0"/>
          <w:szCs w:val="21"/>
        </w:rPr>
        <w:t>长期筹资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F13E88D" w14:textId="29ACB4A0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9D1798" w:rsidRPr="009D1798">
        <w:rPr>
          <w:rFonts w:ascii="宋体" w:eastAsia="宋体" w:hAnsi="宋体" w:cs="宋体" w:hint="eastAsia"/>
          <w:color w:val="000000"/>
          <w:kern w:val="0"/>
          <w:szCs w:val="21"/>
        </w:rPr>
        <w:t>认股权证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9CD59B1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5F6A76D" w14:textId="0980320D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 xml:space="preserve"> 长期筹资概述</w:t>
      </w:r>
    </w:p>
    <w:p w14:paraId="1281EF6B" w14:textId="75C29C79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 xml:space="preserve"> 股权性筹资</w:t>
      </w:r>
    </w:p>
    <w:p w14:paraId="1DCAA83A" w14:textId="1C30039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 xml:space="preserve"> 债务性筹资</w:t>
      </w:r>
    </w:p>
    <w:p w14:paraId="02A47012" w14:textId="481F514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9D1798">
        <w:rPr>
          <w:rFonts w:ascii="宋体" w:eastAsia="宋体" w:hAnsi="宋体" w:cs="宋体" w:hint="eastAsia"/>
          <w:color w:val="000000"/>
          <w:kern w:val="0"/>
          <w:szCs w:val="21"/>
        </w:rPr>
        <w:t xml:space="preserve"> 混合性筹资</w:t>
      </w:r>
    </w:p>
    <w:p w14:paraId="796C227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7293A9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7A978AF0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2BA2382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9F0F1B1" w14:textId="07343A9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分析股票上市对公司的利弊。</w:t>
      </w:r>
    </w:p>
    <w:p w14:paraId="0B74E760" w14:textId="668156CA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企业应如何考虑对贷款银行进行选择？</w:t>
      </w:r>
    </w:p>
    <w:p w14:paraId="1EDCF9B6" w14:textId="5432644B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说明优先股筹资的优缺点。</w:t>
      </w:r>
    </w:p>
    <w:p w14:paraId="1E529DAE" w14:textId="15116646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资本结构决策</w:t>
      </w:r>
    </w:p>
    <w:p w14:paraId="6277CF89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961A4DF" w14:textId="5E0ECF5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6815FB">
        <w:rPr>
          <w:rFonts w:ascii="宋体" w:eastAsia="宋体" w:hAnsi="宋体" w:hint="eastAsia"/>
          <w:szCs w:val="21"/>
        </w:rPr>
        <w:t>理解</w:t>
      </w:r>
      <w:bookmarkStart w:id="12" w:name="_Hlk175962793"/>
      <w:r w:rsidR="006815FB">
        <w:rPr>
          <w:rFonts w:ascii="宋体" w:eastAsia="宋体" w:hAnsi="宋体" w:hint="eastAsia"/>
          <w:szCs w:val="21"/>
        </w:rPr>
        <w:t>资本结构</w:t>
      </w:r>
      <w:bookmarkEnd w:id="12"/>
      <w:r w:rsidR="006815FB">
        <w:rPr>
          <w:rFonts w:ascii="宋体" w:eastAsia="宋体" w:hAnsi="宋体" w:hint="eastAsia"/>
          <w:szCs w:val="21"/>
        </w:rPr>
        <w:t>的概念、种类和意义。</w:t>
      </w:r>
    </w:p>
    <w:p w14:paraId="21FEBA48" w14:textId="28920CF8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6815FB">
        <w:rPr>
          <w:rFonts w:ascii="宋体" w:eastAsia="宋体" w:hAnsi="宋体" w:hint="eastAsia"/>
          <w:szCs w:val="21"/>
        </w:rPr>
        <w:t>理解资本成本。</w:t>
      </w:r>
    </w:p>
    <w:p w14:paraId="443D29A2" w14:textId="073074D0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6815FB">
        <w:rPr>
          <w:rFonts w:ascii="宋体" w:eastAsia="宋体" w:hAnsi="宋体" w:hint="eastAsia"/>
          <w:szCs w:val="21"/>
        </w:rPr>
        <w:t>掌握资本结构决策的方法。</w:t>
      </w:r>
    </w:p>
    <w:p w14:paraId="7972FEA5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9FF521" w14:textId="457ED9BA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815FB" w:rsidRPr="006815FB">
        <w:rPr>
          <w:rFonts w:ascii="宋体" w:eastAsia="宋体" w:hAnsi="宋体" w:cs="宋体" w:hint="eastAsia"/>
          <w:color w:val="000000"/>
          <w:kern w:val="0"/>
          <w:szCs w:val="21"/>
        </w:rPr>
        <w:t>资本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>成本。</w:t>
      </w:r>
    </w:p>
    <w:p w14:paraId="528BD020" w14:textId="5CA87B53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815FB" w:rsidRPr="006815FB">
        <w:rPr>
          <w:rFonts w:ascii="宋体" w:eastAsia="宋体" w:hAnsi="宋体" w:cs="宋体" w:hint="eastAsia"/>
          <w:color w:val="000000"/>
          <w:kern w:val="0"/>
          <w:szCs w:val="21"/>
        </w:rPr>
        <w:t>资本结构决策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8BC2CF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6171684" w14:textId="575622AE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资本结构的理论</w:t>
      </w:r>
    </w:p>
    <w:p w14:paraId="7EC7A4A9" w14:textId="2400714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资本成本的测算</w:t>
      </w:r>
    </w:p>
    <w:p w14:paraId="4C04D803" w14:textId="32F28F29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杠杆利益与风险的衡量</w:t>
      </w:r>
    </w:p>
    <w:p w14:paraId="70DFC53A" w14:textId="4C498825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第四节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资本结构决策分析</w:t>
      </w:r>
    </w:p>
    <w:p w14:paraId="539E2F9D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6958973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61C704CD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100869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11F791E" w14:textId="72E2C06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分析资本成本对企业财务管理的作用。</w:t>
      </w:r>
    </w:p>
    <w:p w14:paraId="4F7626A0" w14:textId="64C2BA28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说明资本成本比较法的基本原理和决策标准。</w:t>
      </w:r>
    </w:p>
    <w:p w14:paraId="02B4A0D8" w14:textId="04AEDCE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说明公司价值比较法的原理。</w:t>
      </w:r>
    </w:p>
    <w:p w14:paraId="6833D41A" w14:textId="40D53D3D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投资决策原理</w:t>
      </w:r>
    </w:p>
    <w:p w14:paraId="275CCE1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E5A8692" w14:textId="1CC23CDD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6815FB">
        <w:rPr>
          <w:rFonts w:ascii="宋体" w:eastAsia="宋体" w:hAnsi="宋体" w:hint="eastAsia"/>
          <w:szCs w:val="21"/>
        </w:rPr>
        <w:t>了解投资活动对于企业的意义。</w:t>
      </w:r>
    </w:p>
    <w:p w14:paraId="61E95672" w14:textId="1A6658AF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6815FB">
        <w:rPr>
          <w:rFonts w:ascii="宋体" w:eastAsia="宋体" w:hAnsi="宋体" w:hint="eastAsia"/>
          <w:szCs w:val="21"/>
        </w:rPr>
        <w:t>掌握投资项目现金流量的构成与计算。</w:t>
      </w:r>
    </w:p>
    <w:p w14:paraId="4FA63139" w14:textId="6231CDA4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6815FB">
        <w:rPr>
          <w:rFonts w:ascii="宋体" w:eastAsia="宋体" w:hAnsi="宋体" w:hint="eastAsia"/>
          <w:szCs w:val="21"/>
        </w:rPr>
        <w:t>掌握各种投资决策指标的计算。</w:t>
      </w:r>
    </w:p>
    <w:p w14:paraId="35BB416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BC9FE1D" w14:textId="48B89239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>企业投资的分类。</w:t>
      </w:r>
    </w:p>
    <w:p w14:paraId="3F26809E" w14:textId="0759BE6A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>投资决策方法。</w:t>
      </w:r>
    </w:p>
    <w:p w14:paraId="4320FE65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CC5017" w14:textId="1956D1B9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长期投资概述</w:t>
      </w:r>
    </w:p>
    <w:p w14:paraId="302975AC" w14:textId="07C4DCCB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投资现金流量的分析</w:t>
      </w:r>
    </w:p>
    <w:p w14:paraId="41940FDE" w14:textId="605DC938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折现现金流量方法</w:t>
      </w:r>
    </w:p>
    <w:p w14:paraId="68317CF4" w14:textId="6E4420C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6815FB">
        <w:rPr>
          <w:rFonts w:ascii="宋体" w:eastAsia="宋体" w:hAnsi="宋体" w:cs="宋体" w:hint="eastAsia"/>
          <w:color w:val="000000"/>
          <w:kern w:val="0"/>
          <w:szCs w:val="21"/>
        </w:rPr>
        <w:t xml:space="preserve"> 非折现现金流量方法</w:t>
      </w:r>
    </w:p>
    <w:p w14:paraId="11B29E03" w14:textId="70C1480E" w:rsidR="006815FB" w:rsidRDefault="006815FB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 投资决策指标的比较</w:t>
      </w:r>
    </w:p>
    <w:p w14:paraId="4D939D84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30EBAFA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5727E37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04EDDA5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C99D55C" w14:textId="4CF034EA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投资活动的现金流量是如何构成的？</w:t>
      </w:r>
    </w:p>
    <w:p w14:paraId="149B2322" w14:textId="30346435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折现现金流量指标主要有哪些？</w:t>
      </w:r>
    </w:p>
    <w:p w14:paraId="1E9F9ABB" w14:textId="6743221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6815FB">
        <w:rPr>
          <w:rFonts w:ascii="宋体" w:eastAsia="宋体" w:hAnsi="宋体" w:cs="TimesNewRomanPSMT" w:hint="eastAsia"/>
          <w:color w:val="000000"/>
          <w:kern w:val="0"/>
          <w:szCs w:val="21"/>
        </w:rPr>
        <w:t>怎么理解净现值的使用优于其他规则？为什么还要使用获利指数和内含报酬率指标？有哪些原因？</w:t>
      </w:r>
    </w:p>
    <w:p w14:paraId="597AA30C" w14:textId="520B9782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投资决策实务</w:t>
      </w:r>
    </w:p>
    <w:p w14:paraId="50CDE5AA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5F09097" w14:textId="43F6455D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001A8B">
        <w:rPr>
          <w:rFonts w:ascii="宋体" w:eastAsia="宋体" w:hAnsi="宋体" w:hint="eastAsia"/>
          <w:szCs w:val="21"/>
        </w:rPr>
        <w:t>了解</w:t>
      </w:r>
      <w:bookmarkStart w:id="13" w:name="_Hlk175963303"/>
      <w:r w:rsidR="00001A8B">
        <w:rPr>
          <w:rFonts w:ascii="宋体" w:eastAsia="宋体" w:hAnsi="宋体" w:hint="eastAsia"/>
          <w:szCs w:val="21"/>
        </w:rPr>
        <w:t>现金流量估计</w:t>
      </w:r>
      <w:bookmarkEnd w:id="13"/>
      <w:r w:rsidR="00001A8B">
        <w:rPr>
          <w:rFonts w:ascii="宋体" w:eastAsia="宋体" w:hAnsi="宋体" w:hint="eastAsia"/>
          <w:szCs w:val="21"/>
        </w:rPr>
        <w:t>中需要考虑的因素。</w:t>
      </w:r>
    </w:p>
    <w:p w14:paraId="78E79E8F" w14:textId="71869C3B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001A8B">
        <w:rPr>
          <w:rFonts w:ascii="宋体" w:eastAsia="宋体" w:hAnsi="宋体" w:hint="eastAsia"/>
          <w:szCs w:val="21"/>
        </w:rPr>
        <w:t>理解税负与折旧对投资的影响。</w:t>
      </w:r>
    </w:p>
    <w:p w14:paraId="68BACC82" w14:textId="0BEE9EBB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9E6AAB">
        <w:rPr>
          <w:rFonts w:ascii="宋体" w:eastAsia="宋体" w:hAnsi="宋体" w:hint="eastAsia"/>
          <w:szCs w:val="21"/>
        </w:rPr>
        <w:t>掌握固定资产更新决策分析方法。</w:t>
      </w:r>
    </w:p>
    <w:p w14:paraId="61447B1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B339985" w14:textId="0AAD76B5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9E6AAB" w:rsidRPr="009E6AAB">
        <w:rPr>
          <w:rFonts w:ascii="宋体" w:eastAsia="宋体" w:hAnsi="宋体" w:cs="宋体" w:hint="eastAsia"/>
          <w:color w:val="000000"/>
          <w:kern w:val="0"/>
          <w:szCs w:val="21"/>
        </w:rPr>
        <w:t>现金流量估计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5954D93" w14:textId="534C5B72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9E6AAB" w:rsidRPr="009E6AAB">
        <w:rPr>
          <w:rFonts w:ascii="宋体" w:eastAsia="宋体" w:hAnsi="宋体" w:cs="宋体" w:hint="eastAsia"/>
          <w:color w:val="000000"/>
          <w:kern w:val="0"/>
          <w:szCs w:val="21"/>
        </w:rPr>
        <w:t>固定资产更新决策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BCDB41A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D833006" w14:textId="4539FF9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现实中现金流量的计算</w:t>
      </w:r>
    </w:p>
    <w:p w14:paraId="3CD62348" w14:textId="76630A40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项目投资决策</w:t>
      </w:r>
    </w:p>
    <w:p w14:paraId="6D6CA062" w14:textId="62D50307" w:rsidR="00CF49C1" w:rsidRDefault="00CF49C1" w:rsidP="009E6A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风险投资决策</w:t>
      </w:r>
    </w:p>
    <w:p w14:paraId="7B51D14D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CD76100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3DB0F160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828C871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F9E6559" w14:textId="2A9386CC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税负和折旧对投资有什么影响？</w:t>
      </w:r>
    </w:p>
    <w:p w14:paraId="5AA3006A" w14:textId="758EC9B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使用什么方法进行固定资产更新决策？</w:t>
      </w:r>
    </w:p>
    <w:p w14:paraId="3A53D0BA" w14:textId="2E195AA5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如何看待风险性投资的有效性和局限性？</w:t>
      </w:r>
    </w:p>
    <w:p w14:paraId="2815D2CB" w14:textId="2152CAD6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短期资产管理</w:t>
      </w:r>
    </w:p>
    <w:p w14:paraId="68447967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5F26572" w14:textId="6949E1C1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9E6AAB">
        <w:rPr>
          <w:rFonts w:ascii="宋体" w:eastAsia="宋体" w:hAnsi="宋体" w:hint="eastAsia"/>
          <w:szCs w:val="21"/>
        </w:rPr>
        <w:t>了解</w:t>
      </w:r>
      <w:bookmarkStart w:id="14" w:name="_Hlk175963478"/>
      <w:r w:rsidR="009E6AAB">
        <w:rPr>
          <w:rFonts w:ascii="宋体" w:eastAsia="宋体" w:hAnsi="宋体" w:hint="eastAsia"/>
          <w:szCs w:val="21"/>
        </w:rPr>
        <w:t>营运资本</w:t>
      </w:r>
      <w:bookmarkEnd w:id="14"/>
      <w:r w:rsidR="009E6AAB">
        <w:rPr>
          <w:rFonts w:ascii="宋体" w:eastAsia="宋体" w:hAnsi="宋体" w:hint="eastAsia"/>
          <w:szCs w:val="21"/>
        </w:rPr>
        <w:t>的概念及其管理原则。</w:t>
      </w:r>
    </w:p>
    <w:p w14:paraId="5F2A9802" w14:textId="1363AC31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E6AAB">
        <w:rPr>
          <w:rFonts w:ascii="宋体" w:eastAsia="宋体" w:hAnsi="宋体" w:hint="eastAsia"/>
          <w:szCs w:val="21"/>
        </w:rPr>
        <w:t>掌握现金的持有动机。</w:t>
      </w:r>
    </w:p>
    <w:p w14:paraId="00167D84" w14:textId="0E628034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9E6AAB">
        <w:rPr>
          <w:rFonts w:ascii="宋体" w:eastAsia="宋体" w:hAnsi="宋体" w:hint="eastAsia"/>
          <w:szCs w:val="21"/>
        </w:rPr>
        <w:t>掌握存货的功能与成本。</w:t>
      </w:r>
    </w:p>
    <w:p w14:paraId="79D9DCE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5FDAE91" w14:textId="2F60851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9E6AAB" w:rsidRPr="009E6AAB">
        <w:rPr>
          <w:rFonts w:ascii="宋体" w:eastAsia="宋体" w:hAnsi="宋体" w:cs="宋体" w:hint="eastAsia"/>
          <w:color w:val="000000"/>
          <w:kern w:val="0"/>
          <w:szCs w:val="21"/>
        </w:rPr>
        <w:t>营运资本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01ECDF6" w14:textId="606597CD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>应收账款的功能与信用政策。</w:t>
      </w:r>
    </w:p>
    <w:p w14:paraId="18D035AE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A8097D" w14:textId="2EAF9E06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营运资本管理</w:t>
      </w:r>
    </w:p>
    <w:p w14:paraId="7780B981" w14:textId="3F887F6F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短期资产管理政策</w:t>
      </w:r>
    </w:p>
    <w:p w14:paraId="20597371" w14:textId="7B40C6E2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第三节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现金管理</w:t>
      </w:r>
    </w:p>
    <w:p w14:paraId="22AE66FB" w14:textId="610BF384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9E6AAB">
        <w:rPr>
          <w:rFonts w:ascii="宋体" w:eastAsia="宋体" w:hAnsi="宋体" w:cs="宋体" w:hint="eastAsia"/>
          <w:color w:val="000000"/>
          <w:kern w:val="0"/>
          <w:szCs w:val="21"/>
        </w:rPr>
        <w:t xml:space="preserve"> 短期金融资产管理</w:t>
      </w:r>
    </w:p>
    <w:p w14:paraId="1FC8A484" w14:textId="37EF940C" w:rsidR="009E6AAB" w:rsidRDefault="009E6AAB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 应收账款管理</w:t>
      </w:r>
    </w:p>
    <w:p w14:paraId="5230A64C" w14:textId="753342E0" w:rsidR="009E6AAB" w:rsidRDefault="009E6AAB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第六节 存货规划及控制</w:t>
      </w:r>
    </w:p>
    <w:p w14:paraId="17B1761D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E0D0297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24291C58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312C5E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17FE82A" w14:textId="61139469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企业为什么要持有现金？</w:t>
      </w:r>
    </w:p>
    <w:p w14:paraId="52FA812D" w14:textId="4AD60110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现金预算的编制方法有哪些？</w:t>
      </w:r>
    </w:p>
    <w:p w14:paraId="6F3A872B" w14:textId="278BD81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9E6AAB">
        <w:rPr>
          <w:rFonts w:ascii="宋体" w:eastAsia="宋体" w:hAnsi="宋体" w:cs="TimesNewRomanPSMT" w:hint="eastAsia"/>
          <w:color w:val="000000"/>
          <w:kern w:val="0"/>
          <w:szCs w:val="21"/>
        </w:rPr>
        <w:t>应收账款的管理目标有哪些？</w:t>
      </w:r>
    </w:p>
    <w:p w14:paraId="3B643DB4" w14:textId="44F44E31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短期筹资管理</w:t>
      </w:r>
    </w:p>
    <w:p w14:paraId="0F9FF2E8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636553F" w14:textId="4BC47411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394B45">
        <w:rPr>
          <w:rFonts w:ascii="宋体" w:eastAsia="宋体" w:hAnsi="宋体" w:hint="eastAsia"/>
          <w:szCs w:val="21"/>
        </w:rPr>
        <w:t>了解</w:t>
      </w:r>
      <w:bookmarkStart w:id="15" w:name="_Hlk175963759"/>
      <w:r w:rsidR="00394B45">
        <w:rPr>
          <w:rFonts w:ascii="宋体" w:eastAsia="宋体" w:hAnsi="宋体" w:hint="eastAsia"/>
          <w:szCs w:val="21"/>
        </w:rPr>
        <w:t>短期筹资</w:t>
      </w:r>
      <w:bookmarkEnd w:id="15"/>
      <w:r w:rsidR="00394B45">
        <w:rPr>
          <w:rFonts w:ascii="宋体" w:eastAsia="宋体" w:hAnsi="宋体" w:hint="eastAsia"/>
          <w:szCs w:val="21"/>
        </w:rPr>
        <w:t>的概念和内容。</w:t>
      </w:r>
    </w:p>
    <w:p w14:paraId="6D7116BE" w14:textId="117541D9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394B45">
        <w:rPr>
          <w:rFonts w:ascii="宋体" w:eastAsia="宋体" w:hAnsi="宋体" w:hint="eastAsia"/>
          <w:szCs w:val="21"/>
        </w:rPr>
        <w:t>了解自然性筹资的内容。</w:t>
      </w:r>
    </w:p>
    <w:p w14:paraId="26827475" w14:textId="00048C84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394B45">
        <w:rPr>
          <w:rFonts w:ascii="宋体" w:eastAsia="宋体" w:hAnsi="宋体" w:hint="eastAsia"/>
          <w:szCs w:val="21"/>
        </w:rPr>
        <w:t>了解短期</w:t>
      </w:r>
      <w:bookmarkStart w:id="16" w:name="_Hlk175963764"/>
      <w:r w:rsidR="00394B45">
        <w:rPr>
          <w:rFonts w:ascii="宋体" w:eastAsia="宋体" w:hAnsi="宋体" w:hint="eastAsia"/>
          <w:szCs w:val="21"/>
        </w:rPr>
        <w:t>借款筹资</w:t>
      </w:r>
      <w:bookmarkEnd w:id="16"/>
      <w:r w:rsidR="00394B45">
        <w:rPr>
          <w:rFonts w:ascii="宋体" w:eastAsia="宋体" w:hAnsi="宋体" w:hint="eastAsia"/>
          <w:szCs w:val="21"/>
        </w:rPr>
        <w:t>的种类和程序。</w:t>
      </w:r>
    </w:p>
    <w:p w14:paraId="75BA62AD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686D34" w14:textId="6972281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394B45" w:rsidRPr="00394B45">
        <w:rPr>
          <w:rFonts w:ascii="宋体" w:eastAsia="宋体" w:hAnsi="宋体" w:cs="宋体" w:hint="eastAsia"/>
          <w:color w:val="000000"/>
          <w:kern w:val="0"/>
          <w:szCs w:val="21"/>
        </w:rPr>
        <w:t>短期筹资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3321C29" w14:textId="5B7A01B4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>短期</w:t>
      </w:r>
      <w:r w:rsidR="00394B45" w:rsidRPr="00394B45">
        <w:rPr>
          <w:rFonts w:ascii="宋体" w:eastAsia="宋体" w:hAnsi="宋体" w:cs="宋体" w:hint="eastAsia"/>
          <w:color w:val="000000"/>
          <w:kern w:val="0"/>
          <w:szCs w:val="21"/>
        </w:rPr>
        <w:t>借款筹资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6F3A8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25C4AF" w14:textId="6AD5DE3A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bookmarkStart w:id="17" w:name="_Hlk175963868"/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>短期筹资政策</w:t>
      </w:r>
      <w:bookmarkEnd w:id="17"/>
    </w:p>
    <w:p w14:paraId="65F72D69" w14:textId="245EDD51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 xml:space="preserve"> 自然性筹资</w:t>
      </w:r>
    </w:p>
    <w:p w14:paraId="56960C0E" w14:textId="06FA85B1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 xml:space="preserve"> 短期借款筹资</w:t>
      </w:r>
    </w:p>
    <w:p w14:paraId="5559590A" w14:textId="1BDEABD9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394B45">
        <w:rPr>
          <w:rFonts w:ascii="宋体" w:eastAsia="宋体" w:hAnsi="宋体" w:cs="宋体" w:hint="eastAsia"/>
          <w:color w:val="000000"/>
          <w:kern w:val="0"/>
          <w:szCs w:val="21"/>
        </w:rPr>
        <w:t xml:space="preserve"> 短期融资券</w:t>
      </w:r>
    </w:p>
    <w:p w14:paraId="5FB9BA4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32D5531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2D2A399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7F0AC1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7063AA7" w14:textId="2A30C9F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394B45" w:rsidRPr="00394B45">
        <w:rPr>
          <w:rFonts w:ascii="宋体" w:eastAsia="宋体" w:hAnsi="宋体" w:cs="TimesNewRomanPSMT" w:hint="eastAsia"/>
          <w:color w:val="000000"/>
          <w:kern w:val="0"/>
          <w:szCs w:val="21"/>
        </w:rPr>
        <w:t>短期筹资政策</w:t>
      </w:r>
      <w:r w:rsidR="003E2AEC">
        <w:rPr>
          <w:rFonts w:ascii="宋体" w:eastAsia="宋体" w:hAnsi="宋体" w:cs="TimesNewRomanPSMT" w:hint="eastAsia"/>
          <w:color w:val="000000"/>
          <w:kern w:val="0"/>
          <w:szCs w:val="21"/>
        </w:rPr>
        <w:t>的主要类型包括哪些？</w:t>
      </w:r>
    </w:p>
    <w:p w14:paraId="45050C22" w14:textId="6E2DEBE5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3E2AEC">
        <w:rPr>
          <w:rFonts w:ascii="宋体" w:eastAsia="宋体" w:hAnsi="宋体" w:cs="TimesNewRomanPSMT" w:hint="eastAsia"/>
          <w:color w:val="000000"/>
          <w:kern w:val="0"/>
          <w:szCs w:val="21"/>
        </w:rPr>
        <w:t>什么是自然性筹资？</w:t>
      </w:r>
    </w:p>
    <w:p w14:paraId="52047B09" w14:textId="6A339AE7" w:rsidR="003E2AEC" w:rsidRDefault="00CF49C1" w:rsidP="003E2AEC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（3）</w:t>
      </w:r>
      <w:r w:rsidR="003E2AEC">
        <w:rPr>
          <w:rFonts w:ascii="宋体" w:eastAsia="宋体" w:hAnsi="宋体" w:cs="TimesNewRomanPSMT" w:hint="eastAsia"/>
          <w:color w:val="000000"/>
          <w:kern w:val="0"/>
          <w:szCs w:val="21"/>
        </w:rPr>
        <w:t>在选择贷款银行时，应该考虑的因素有哪些？</w:t>
      </w:r>
    </w:p>
    <w:p w14:paraId="6DC55B33" w14:textId="154ADD70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一章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股利理论与政策</w:t>
      </w:r>
    </w:p>
    <w:p w14:paraId="4748AB56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9E1ED2A" w14:textId="40FC747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7D4ABF">
        <w:rPr>
          <w:rFonts w:ascii="宋体" w:eastAsia="宋体" w:hAnsi="宋体" w:hint="eastAsia"/>
          <w:szCs w:val="21"/>
        </w:rPr>
        <w:t>掌握公司利润分配程序。</w:t>
      </w:r>
    </w:p>
    <w:p w14:paraId="7B5445D0" w14:textId="1BF9D4F1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7D4ABF">
        <w:rPr>
          <w:rFonts w:ascii="宋体" w:eastAsia="宋体" w:hAnsi="宋体" w:hint="eastAsia"/>
          <w:szCs w:val="21"/>
        </w:rPr>
        <w:t>理解</w:t>
      </w:r>
      <w:bookmarkStart w:id="18" w:name="_Hlk175964013"/>
      <w:r w:rsidR="007D4ABF">
        <w:rPr>
          <w:rFonts w:ascii="宋体" w:eastAsia="宋体" w:hAnsi="宋体" w:hint="eastAsia"/>
          <w:szCs w:val="21"/>
        </w:rPr>
        <w:t>股利理论</w:t>
      </w:r>
      <w:bookmarkEnd w:id="18"/>
      <w:r w:rsidR="007D4ABF">
        <w:rPr>
          <w:rFonts w:ascii="宋体" w:eastAsia="宋体" w:hAnsi="宋体" w:hint="eastAsia"/>
          <w:szCs w:val="21"/>
        </w:rPr>
        <w:t>的主要内容。</w:t>
      </w:r>
    </w:p>
    <w:p w14:paraId="6B07296E" w14:textId="5E1D9BF2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7D4ABF">
        <w:rPr>
          <w:rFonts w:ascii="宋体" w:eastAsia="宋体" w:hAnsi="宋体" w:hint="eastAsia"/>
          <w:szCs w:val="21"/>
        </w:rPr>
        <w:t>了解股票分割与股票股利的区别。</w:t>
      </w:r>
    </w:p>
    <w:p w14:paraId="0CCD5E52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A81EEB" w14:textId="4E3D8002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7D4ABF" w:rsidRPr="007D4ABF">
        <w:rPr>
          <w:rFonts w:ascii="宋体" w:eastAsia="宋体" w:hAnsi="宋体" w:cs="宋体" w:hint="eastAsia"/>
          <w:color w:val="000000"/>
          <w:kern w:val="0"/>
          <w:szCs w:val="21"/>
        </w:rPr>
        <w:t>股利理论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5B700DF" w14:textId="52061416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7D4ABF" w:rsidRPr="007D4ABF">
        <w:rPr>
          <w:rFonts w:ascii="宋体" w:eastAsia="宋体" w:hAnsi="宋体" w:cs="宋体" w:hint="eastAsia"/>
          <w:color w:val="000000"/>
          <w:kern w:val="0"/>
          <w:szCs w:val="21"/>
        </w:rPr>
        <w:t>股利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>政策。</w:t>
      </w:r>
    </w:p>
    <w:p w14:paraId="08A9739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C4E03E" w14:textId="7D256DD0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 xml:space="preserve"> 股利及其分配</w:t>
      </w:r>
    </w:p>
    <w:p w14:paraId="06DB89B0" w14:textId="3D769BEA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 xml:space="preserve"> 股利理论</w:t>
      </w:r>
    </w:p>
    <w:p w14:paraId="2F3DCC47" w14:textId="6BAF29DC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 xml:space="preserve"> 股利政策及其选择</w:t>
      </w:r>
    </w:p>
    <w:p w14:paraId="70D28121" w14:textId="4429BB4E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 xml:space="preserve"> 股票分割与股票回购</w:t>
      </w:r>
    </w:p>
    <w:p w14:paraId="56B0B7D0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48884E5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145F3955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273A30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0FF001C8" w14:textId="04B8303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7D4ABF">
        <w:rPr>
          <w:rFonts w:ascii="宋体" w:eastAsia="宋体" w:hAnsi="宋体" w:cs="TimesNewRomanPSMT" w:hint="eastAsia"/>
          <w:color w:val="000000"/>
          <w:kern w:val="0"/>
          <w:szCs w:val="21"/>
        </w:rPr>
        <w:t>为什么在完全资本市场条件下，股利政策与股价无关？</w:t>
      </w:r>
    </w:p>
    <w:p w14:paraId="05810DEE" w14:textId="4994514E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7D4ABF">
        <w:rPr>
          <w:rFonts w:ascii="宋体" w:eastAsia="宋体" w:hAnsi="宋体" w:cs="TimesNewRomanPSMT" w:hint="eastAsia"/>
          <w:color w:val="000000"/>
          <w:kern w:val="0"/>
          <w:szCs w:val="21"/>
        </w:rPr>
        <w:t>公司的股利政策是否必须保持稳定？</w:t>
      </w:r>
    </w:p>
    <w:p w14:paraId="430026BF" w14:textId="7A33EF4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7D4ABF">
        <w:rPr>
          <w:rFonts w:ascii="宋体" w:eastAsia="宋体" w:hAnsi="宋体" w:cs="TimesNewRomanPSMT" w:hint="eastAsia"/>
          <w:color w:val="000000"/>
          <w:kern w:val="0"/>
          <w:szCs w:val="21"/>
        </w:rPr>
        <w:t>股利分配政策的影响因素有哪些？</w:t>
      </w:r>
    </w:p>
    <w:p w14:paraId="6642A646" w14:textId="3FDF0D0B" w:rsidR="00CF49C1" w:rsidRDefault="00CF49C1" w:rsidP="00CF49C1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78C0" w:rsidRPr="009278C0">
        <w:rPr>
          <w:rFonts w:ascii="黑体" w:eastAsia="黑体" w:hAnsi="黑体" w:cs="Times New Roman" w:hint="eastAsia"/>
          <w:b/>
          <w:sz w:val="24"/>
          <w:szCs w:val="24"/>
        </w:rPr>
        <w:t>并购与重组</w:t>
      </w:r>
    </w:p>
    <w:p w14:paraId="25F1A5DF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27518B4" w14:textId="11AD5B2F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7D4ABF">
        <w:rPr>
          <w:rFonts w:ascii="宋体" w:eastAsia="宋体" w:hAnsi="宋体" w:hint="eastAsia"/>
          <w:szCs w:val="21"/>
        </w:rPr>
        <w:t>掌握公司并购的概念与类型。</w:t>
      </w:r>
    </w:p>
    <w:p w14:paraId="2141902D" w14:textId="658F94C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7D4ABF">
        <w:rPr>
          <w:rFonts w:ascii="宋体" w:eastAsia="宋体" w:hAnsi="宋体" w:hint="eastAsia"/>
          <w:szCs w:val="21"/>
        </w:rPr>
        <w:t>理解公司重组方式。</w:t>
      </w:r>
    </w:p>
    <w:p w14:paraId="6B44DF91" w14:textId="3961DBD3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7D4ABF">
        <w:rPr>
          <w:rFonts w:ascii="宋体" w:eastAsia="宋体" w:hAnsi="宋体" w:hint="eastAsia"/>
          <w:szCs w:val="21"/>
        </w:rPr>
        <w:t>理解财务危机。</w:t>
      </w:r>
    </w:p>
    <w:p w14:paraId="4C41B9FB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088B937" w14:textId="50031C26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7D4ABF" w:rsidRPr="007D4ABF">
        <w:rPr>
          <w:rFonts w:ascii="宋体" w:eastAsia="宋体" w:hAnsi="宋体" w:cs="宋体" w:hint="eastAsia"/>
          <w:color w:val="000000"/>
          <w:kern w:val="0"/>
          <w:szCs w:val="21"/>
        </w:rPr>
        <w:t>公司并购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>的价值评估方法。</w:t>
      </w:r>
    </w:p>
    <w:p w14:paraId="68361D17" w14:textId="640B13C2" w:rsidR="00CF49C1" w:rsidRPr="00956848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7D4ABF">
        <w:rPr>
          <w:rFonts w:ascii="宋体" w:eastAsia="宋体" w:hAnsi="宋体" w:cs="宋体" w:hint="eastAsia"/>
          <w:color w:val="000000"/>
          <w:kern w:val="0"/>
          <w:szCs w:val="21"/>
        </w:rPr>
        <w:t>公司重组方式。</w:t>
      </w:r>
    </w:p>
    <w:p w14:paraId="7F06D857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4A66B67" w14:textId="08750750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第一节</w:t>
      </w:r>
      <w:r w:rsidR="00284B06">
        <w:rPr>
          <w:rFonts w:ascii="宋体" w:eastAsia="宋体" w:hAnsi="宋体" w:cs="宋体" w:hint="eastAsia"/>
          <w:color w:val="000000"/>
          <w:kern w:val="0"/>
          <w:szCs w:val="21"/>
        </w:rPr>
        <w:t xml:space="preserve"> 公司并购</w:t>
      </w:r>
    </w:p>
    <w:p w14:paraId="3F733A8A" w14:textId="6EB2FC26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284B06">
        <w:rPr>
          <w:rFonts w:ascii="宋体" w:eastAsia="宋体" w:hAnsi="宋体" w:cs="宋体" w:hint="eastAsia"/>
          <w:color w:val="000000"/>
          <w:kern w:val="0"/>
          <w:szCs w:val="21"/>
        </w:rPr>
        <w:t xml:space="preserve"> 公司重组</w:t>
      </w:r>
    </w:p>
    <w:p w14:paraId="42999E18" w14:textId="4A9B1BAE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284B06">
        <w:rPr>
          <w:rFonts w:ascii="宋体" w:eastAsia="宋体" w:hAnsi="宋体" w:cs="宋体" w:hint="eastAsia"/>
          <w:color w:val="000000"/>
          <w:kern w:val="0"/>
          <w:szCs w:val="21"/>
        </w:rPr>
        <w:t xml:space="preserve"> 财务预警</w:t>
      </w:r>
    </w:p>
    <w:p w14:paraId="1A52D005" w14:textId="54D6907F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284B06">
        <w:rPr>
          <w:rFonts w:ascii="宋体" w:eastAsia="宋体" w:hAnsi="宋体" w:cs="宋体" w:hint="eastAsia"/>
          <w:color w:val="000000"/>
          <w:kern w:val="0"/>
          <w:szCs w:val="21"/>
        </w:rPr>
        <w:t xml:space="preserve"> 破产、重整与清算</w:t>
      </w:r>
    </w:p>
    <w:p w14:paraId="7603065C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D18009D" w14:textId="77777777" w:rsidR="00CF49C1" w:rsidRPr="00313A87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956848"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4CDC775A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0DB9C53" w14:textId="77777777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408F3D2" w14:textId="3A8D34A3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965032">
        <w:rPr>
          <w:rFonts w:ascii="宋体" w:eastAsia="宋体" w:hAnsi="宋体" w:cs="TimesNewRomanPSMT" w:hint="eastAsia"/>
          <w:color w:val="000000"/>
          <w:kern w:val="0"/>
          <w:szCs w:val="21"/>
        </w:rPr>
        <w:t>如何理解公司并购的动因？</w:t>
      </w:r>
    </w:p>
    <w:p w14:paraId="267E86B3" w14:textId="05611881" w:rsidR="00CF49C1" w:rsidRDefault="00CF49C1" w:rsidP="00CF49C1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965032">
        <w:rPr>
          <w:rFonts w:ascii="宋体" w:eastAsia="宋体" w:hAnsi="宋体" w:cs="TimesNewRomanPSMT" w:hint="eastAsia"/>
          <w:color w:val="000000"/>
          <w:kern w:val="0"/>
          <w:szCs w:val="21"/>
        </w:rPr>
        <w:t>公司为什么要进行资产剥离或</w:t>
      </w:r>
      <w:r w:rsidR="006854D9">
        <w:rPr>
          <w:rFonts w:ascii="宋体" w:eastAsia="宋体" w:hAnsi="宋体" w:cs="TimesNewRomanPSMT" w:hint="eastAsia"/>
          <w:color w:val="000000"/>
          <w:kern w:val="0"/>
          <w:szCs w:val="21"/>
        </w:rPr>
        <w:t>股权出售？</w:t>
      </w:r>
    </w:p>
    <w:p w14:paraId="3174F32F" w14:textId="413EDD0E" w:rsidR="00413126" w:rsidRPr="003374DB" w:rsidRDefault="00CF49C1" w:rsidP="006854D9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6854D9">
        <w:rPr>
          <w:rFonts w:ascii="宋体" w:eastAsia="宋体" w:hAnsi="宋体" w:cs="TimesNewRomanPSMT" w:hint="eastAsia"/>
          <w:color w:val="000000"/>
          <w:kern w:val="0"/>
          <w:szCs w:val="21"/>
        </w:rPr>
        <w:t>企业重整与债务和解有何区别？</w:t>
      </w:r>
    </w:p>
    <w:p w14:paraId="1EBE4731" w14:textId="42729EA5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31EFCBE9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819"/>
        <w:gridCol w:w="1497"/>
      </w:tblGrid>
      <w:tr w:rsidR="00CA53B2" w14:paraId="3A919F8C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819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97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819" w:type="dxa"/>
            <w:vAlign w:val="center"/>
          </w:tcPr>
          <w:p w14:paraId="645659EC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财务管理的概念</w:t>
            </w:r>
          </w:p>
          <w:p w14:paraId="5FC49AE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财务管理的目标</w:t>
            </w:r>
          </w:p>
          <w:p w14:paraId="1476BC60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企业组织形式与财务经理</w:t>
            </w:r>
          </w:p>
          <w:p w14:paraId="1BB97EAB" w14:textId="2A257469" w:rsidR="00CA53B2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财务管理的环境</w:t>
            </w:r>
          </w:p>
        </w:tc>
        <w:tc>
          <w:tcPr>
            <w:tcW w:w="1497" w:type="dxa"/>
            <w:vAlign w:val="center"/>
          </w:tcPr>
          <w:p w14:paraId="363D1EB1" w14:textId="37A27E00" w:rsidR="00CA53B2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819" w:type="dxa"/>
            <w:vAlign w:val="center"/>
          </w:tcPr>
          <w:p w14:paraId="61B04AB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货币时间价值</w:t>
            </w:r>
          </w:p>
          <w:p w14:paraId="432E8B45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风险与报酬</w:t>
            </w:r>
          </w:p>
          <w:p w14:paraId="46BE9160" w14:textId="6BA1B287" w:rsidR="00CA53B2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证券估值</w:t>
            </w:r>
          </w:p>
        </w:tc>
        <w:tc>
          <w:tcPr>
            <w:tcW w:w="1497" w:type="dxa"/>
            <w:vAlign w:val="center"/>
          </w:tcPr>
          <w:p w14:paraId="17DBF8B4" w14:textId="6FC89D83" w:rsidR="00CA53B2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4322669A" w14:textId="77777777" w:rsidTr="007713FB">
        <w:trPr>
          <w:trHeight w:val="340"/>
          <w:jc w:val="center"/>
        </w:trPr>
        <w:tc>
          <w:tcPr>
            <w:tcW w:w="1980" w:type="dxa"/>
            <w:vMerge w:val="restart"/>
            <w:vAlign w:val="center"/>
          </w:tcPr>
          <w:p w14:paraId="0696E2B2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819" w:type="dxa"/>
            <w:vAlign w:val="center"/>
          </w:tcPr>
          <w:p w14:paraId="0A4A7DFB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财务分析概述</w:t>
            </w:r>
          </w:p>
          <w:p w14:paraId="65836CCD" w14:textId="66CFB29D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财务能力分析</w:t>
            </w:r>
          </w:p>
        </w:tc>
        <w:tc>
          <w:tcPr>
            <w:tcW w:w="1497" w:type="dxa"/>
            <w:vAlign w:val="center"/>
          </w:tcPr>
          <w:p w14:paraId="7DF1DFC4" w14:textId="7E4FB0C8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45D73FB9" w14:textId="77777777" w:rsidTr="007713FB">
        <w:trPr>
          <w:trHeight w:val="340"/>
          <w:jc w:val="center"/>
        </w:trPr>
        <w:tc>
          <w:tcPr>
            <w:tcW w:w="1980" w:type="dxa"/>
            <w:vMerge/>
            <w:vAlign w:val="center"/>
          </w:tcPr>
          <w:p w14:paraId="2FA53011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819" w:type="dxa"/>
            <w:vAlign w:val="center"/>
          </w:tcPr>
          <w:p w14:paraId="688DF01C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财务趋势分析</w:t>
            </w:r>
          </w:p>
          <w:p w14:paraId="6F31CCB9" w14:textId="28415903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财务综合分析</w:t>
            </w:r>
          </w:p>
        </w:tc>
        <w:tc>
          <w:tcPr>
            <w:tcW w:w="1497" w:type="dxa"/>
            <w:vAlign w:val="center"/>
          </w:tcPr>
          <w:p w14:paraId="6487B929" w14:textId="30DAD04B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7C79EA78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819" w:type="dxa"/>
            <w:vAlign w:val="center"/>
          </w:tcPr>
          <w:p w14:paraId="75BC2D33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财务战略</w:t>
            </w:r>
          </w:p>
          <w:p w14:paraId="4F1EF1D1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lastRenderedPageBreak/>
              <w:t>第二节 财务预测</w:t>
            </w:r>
          </w:p>
          <w:p w14:paraId="017CA248" w14:textId="712FB52A" w:rsidR="00CA53B2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财务预算</w:t>
            </w:r>
          </w:p>
        </w:tc>
        <w:tc>
          <w:tcPr>
            <w:tcW w:w="1497" w:type="dxa"/>
            <w:vAlign w:val="center"/>
          </w:tcPr>
          <w:p w14:paraId="256A5CE1" w14:textId="523DF525" w:rsidR="00CA53B2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lastRenderedPageBreak/>
              <w:t>3</w:t>
            </w:r>
          </w:p>
        </w:tc>
      </w:tr>
      <w:tr w:rsidR="00B62871" w14:paraId="76EAEF43" w14:textId="77777777" w:rsidTr="007713FB">
        <w:trPr>
          <w:trHeight w:val="340"/>
          <w:jc w:val="center"/>
        </w:trPr>
        <w:tc>
          <w:tcPr>
            <w:tcW w:w="1980" w:type="dxa"/>
            <w:vMerge w:val="restart"/>
            <w:vAlign w:val="center"/>
          </w:tcPr>
          <w:p w14:paraId="6C24F4EA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819" w:type="dxa"/>
            <w:vAlign w:val="center"/>
          </w:tcPr>
          <w:p w14:paraId="3F3743EA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长期筹资概述</w:t>
            </w:r>
          </w:p>
          <w:p w14:paraId="60D4AC38" w14:textId="46352E97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股权性筹资</w:t>
            </w:r>
          </w:p>
        </w:tc>
        <w:tc>
          <w:tcPr>
            <w:tcW w:w="1497" w:type="dxa"/>
            <w:vAlign w:val="center"/>
          </w:tcPr>
          <w:p w14:paraId="59DFB9E2" w14:textId="2DF27C76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59B0F223" w14:textId="77777777" w:rsidTr="007713FB">
        <w:trPr>
          <w:trHeight w:val="340"/>
          <w:jc w:val="center"/>
        </w:trPr>
        <w:tc>
          <w:tcPr>
            <w:tcW w:w="1980" w:type="dxa"/>
            <w:vMerge/>
            <w:vAlign w:val="center"/>
          </w:tcPr>
          <w:p w14:paraId="1021F581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819" w:type="dxa"/>
            <w:vAlign w:val="center"/>
          </w:tcPr>
          <w:p w14:paraId="17978B1B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债务性筹资</w:t>
            </w:r>
          </w:p>
          <w:p w14:paraId="01D40752" w14:textId="2BC0561D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混合性筹资</w:t>
            </w:r>
          </w:p>
        </w:tc>
        <w:tc>
          <w:tcPr>
            <w:tcW w:w="1497" w:type="dxa"/>
            <w:vAlign w:val="center"/>
          </w:tcPr>
          <w:p w14:paraId="3E2983C5" w14:textId="744603D3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25D534C8" w14:textId="77777777" w:rsidTr="007713FB">
        <w:trPr>
          <w:trHeight w:val="340"/>
          <w:jc w:val="center"/>
        </w:trPr>
        <w:tc>
          <w:tcPr>
            <w:tcW w:w="1980" w:type="dxa"/>
            <w:vMerge w:val="restart"/>
            <w:vAlign w:val="center"/>
          </w:tcPr>
          <w:p w14:paraId="2DE9C737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4819" w:type="dxa"/>
            <w:vAlign w:val="center"/>
          </w:tcPr>
          <w:p w14:paraId="4BD73C41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资本结构的理论</w:t>
            </w:r>
          </w:p>
          <w:p w14:paraId="7C8C55C7" w14:textId="1B2F7A02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资本成本的测算</w:t>
            </w:r>
          </w:p>
        </w:tc>
        <w:tc>
          <w:tcPr>
            <w:tcW w:w="1497" w:type="dxa"/>
            <w:vAlign w:val="center"/>
          </w:tcPr>
          <w:p w14:paraId="2EC3BA77" w14:textId="4A9D838C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6282EA24" w14:textId="77777777" w:rsidTr="007713FB">
        <w:trPr>
          <w:trHeight w:val="340"/>
          <w:jc w:val="center"/>
        </w:trPr>
        <w:tc>
          <w:tcPr>
            <w:tcW w:w="1980" w:type="dxa"/>
            <w:vMerge/>
            <w:vAlign w:val="center"/>
          </w:tcPr>
          <w:p w14:paraId="7E1B1EBB" w14:textId="77777777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819" w:type="dxa"/>
            <w:vAlign w:val="center"/>
          </w:tcPr>
          <w:p w14:paraId="2A4AA8B9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杠杆利益与风险的衡量</w:t>
            </w:r>
          </w:p>
          <w:p w14:paraId="7176EA2F" w14:textId="0D3788FE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资本结构决策分析</w:t>
            </w:r>
          </w:p>
        </w:tc>
        <w:tc>
          <w:tcPr>
            <w:tcW w:w="1497" w:type="dxa"/>
            <w:vAlign w:val="center"/>
          </w:tcPr>
          <w:p w14:paraId="7A030FD2" w14:textId="535D54D9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553CCC4E" w14:textId="77777777" w:rsidTr="007713FB">
        <w:trPr>
          <w:trHeight w:val="340"/>
          <w:jc w:val="center"/>
        </w:trPr>
        <w:tc>
          <w:tcPr>
            <w:tcW w:w="1980" w:type="dxa"/>
            <w:vMerge w:val="restart"/>
            <w:vAlign w:val="center"/>
          </w:tcPr>
          <w:p w14:paraId="3E4C23D5" w14:textId="32539055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4819" w:type="dxa"/>
            <w:vAlign w:val="center"/>
          </w:tcPr>
          <w:p w14:paraId="69D060F9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长期投资概述</w:t>
            </w:r>
          </w:p>
          <w:p w14:paraId="7A2524F8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投资现金流量的分析</w:t>
            </w:r>
          </w:p>
          <w:p w14:paraId="0A076EE2" w14:textId="7E08293D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折现现金流量方法</w:t>
            </w:r>
          </w:p>
        </w:tc>
        <w:tc>
          <w:tcPr>
            <w:tcW w:w="1497" w:type="dxa"/>
            <w:vAlign w:val="center"/>
          </w:tcPr>
          <w:p w14:paraId="5A359909" w14:textId="17CC730B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1B385EC4" w14:textId="77777777" w:rsidTr="007713FB">
        <w:trPr>
          <w:trHeight w:val="340"/>
          <w:jc w:val="center"/>
        </w:trPr>
        <w:tc>
          <w:tcPr>
            <w:tcW w:w="1980" w:type="dxa"/>
            <w:vMerge/>
            <w:vAlign w:val="center"/>
          </w:tcPr>
          <w:p w14:paraId="50F3C59F" w14:textId="77777777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819" w:type="dxa"/>
            <w:vAlign w:val="center"/>
          </w:tcPr>
          <w:p w14:paraId="2B5BE1C4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非折现现金流量方法</w:t>
            </w:r>
          </w:p>
          <w:p w14:paraId="32F14BA4" w14:textId="7EF0E6C1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第五节 投资决策指标的比较</w:t>
            </w:r>
          </w:p>
        </w:tc>
        <w:tc>
          <w:tcPr>
            <w:tcW w:w="1497" w:type="dxa"/>
            <w:vAlign w:val="center"/>
          </w:tcPr>
          <w:p w14:paraId="6DEF951D" w14:textId="5C9847F6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F49C1" w14:paraId="7C199D10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07B11DD4" w14:textId="70E7F667" w:rsidR="00CF49C1" w:rsidRPr="0034254B" w:rsidRDefault="00CF49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4819" w:type="dxa"/>
            <w:vAlign w:val="center"/>
          </w:tcPr>
          <w:p w14:paraId="5D246B59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现实中现金流量的计算</w:t>
            </w:r>
          </w:p>
          <w:p w14:paraId="59370D1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项目投资决策</w:t>
            </w:r>
          </w:p>
          <w:p w14:paraId="30D1FE92" w14:textId="2FFD6047" w:rsidR="00CF49C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风险投资决策</w:t>
            </w:r>
          </w:p>
        </w:tc>
        <w:tc>
          <w:tcPr>
            <w:tcW w:w="1497" w:type="dxa"/>
            <w:vAlign w:val="center"/>
          </w:tcPr>
          <w:p w14:paraId="031FF57E" w14:textId="19663707" w:rsidR="00CF49C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17089665" w14:textId="77777777" w:rsidTr="007713FB">
        <w:trPr>
          <w:trHeight w:val="340"/>
          <w:jc w:val="center"/>
        </w:trPr>
        <w:tc>
          <w:tcPr>
            <w:tcW w:w="1980" w:type="dxa"/>
            <w:vMerge w:val="restart"/>
            <w:vAlign w:val="center"/>
          </w:tcPr>
          <w:p w14:paraId="047C24C0" w14:textId="1BC55BF8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4819" w:type="dxa"/>
            <w:vAlign w:val="center"/>
          </w:tcPr>
          <w:p w14:paraId="080A93D7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营运资本管理</w:t>
            </w:r>
          </w:p>
          <w:p w14:paraId="18D66278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短期资产管理政策</w:t>
            </w:r>
          </w:p>
          <w:p w14:paraId="299A82F6" w14:textId="738C5461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现金管理</w:t>
            </w:r>
          </w:p>
        </w:tc>
        <w:tc>
          <w:tcPr>
            <w:tcW w:w="1497" w:type="dxa"/>
            <w:vAlign w:val="center"/>
          </w:tcPr>
          <w:p w14:paraId="279EED76" w14:textId="0159CCB5" w:rsidR="00B6287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62871" w14:paraId="3BE29632" w14:textId="77777777" w:rsidTr="007713FB">
        <w:trPr>
          <w:trHeight w:val="340"/>
          <w:jc w:val="center"/>
        </w:trPr>
        <w:tc>
          <w:tcPr>
            <w:tcW w:w="1980" w:type="dxa"/>
            <w:vMerge/>
            <w:vAlign w:val="center"/>
          </w:tcPr>
          <w:p w14:paraId="3FBA82C9" w14:textId="77777777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819" w:type="dxa"/>
            <w:vAlign w:val="center"/>
          </w:tcPr>
          <w:p w14:paraId="41C3773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短期金融资产管理</w:t>
            </w:r>
          </w:p>
          <w:p w14:paraId="02C08765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第五节 应收账款管理</w:t>
            </w:r>
          </w:p>
          <w:p w14:paraId="7138261E" w14:textId="2F16D315" w:rsidR="00B6287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第六节 存货规划及控制</w:t>
            </w:r>
          </w:p>
        </w:tc>
        <w:tc>
          <w:tcPr>
            <w:tcW w:w="1497" w:type="dxa"/>
            <w:vAlign w:val="center"/>
          </w:tcPr>
          <w:p w14:paraId="121B4995" w14:textId="7EA8D76C" w:rsidR="00B62871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F49C1" w14:paraId="70DA608A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1EA09D52" w14:textId="4EE2F8A7" w:rsidR="00CF49C1" w:rsidRPr="0034254B" w:rsidRDefault="00CF49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4819" w:type="dxa"/>
            <w:vAlign w:val="center"/>
          </w:tcPr>
          <w:p w14:paraId="7642534A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短期筹资政策</w:t>
            </w:r>
          </w:p>
          <w:p w14:paraId="69823A69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自然性筹资</w:t>
            </w:r>
          </w:p>
          <w:p w14:paraId="4407CA27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lastRenderedPageBreak/>
              <w:t>第三节 短期借款筹资</w:t>
            </w:r>
          </w:p>
          <w:p w14:paraId="12C0201E" w14:textId="79E3053E" w:rsidR="00CF49C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短期融资券</w:t>
            </w:r>
          </w:p>
        </w:tc>
        <w:tc>
          <w:tcPr>
            <w:tcW w:w="1497" w:type="dxa"/>
            <w:vAlign w:val="center"/>
          </w:tcPr>
          <w:p w14:paraId="6F9CE3C1" w14:textId="6D0EE1F7" w:rsidR="00CF49C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lastRenderedPageBreak/>
              <w:t>3</w:t>
            </w:r>
          </w:p>
        </w:tc>
      </w:tr>
      <w:tr w:rsidR="00CF49C1" w14:paraId="7D617949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50260E38" w14:textId="20EDDF36" w:rsidR="00CF49C1" w:rsidRPr="0034254B" w:rsidRDefault="00CF49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4819" w:type="dxa"/>
            <w:vAlign w:val="center"/>
          </w:tcPr>
          <w:p w14:paraId="62C4AE8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股利及其分配</w:t>
            </w:r>
          </w:p>
          <w:p w14:paraId="2E679A34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股利理论</w:t>
            </w:r>
          </w:p>
          <w:p w14:paraId="579382B9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股利政策及其选择</w:t>
            </w:r>
          </w:p>
          <w:p w14:paraId="5EFC69C3" w14:textId="510AD822" w:rsidR="00CF49C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股票分割与股票回购</w:t>
            </w:r>
          </w:p>
        </w:tc>
        <w:tc>
          <w:tcPr>
            <w:tcW w:w="1497" w:type="dxa"/>
            <w:vAlign w:val="center"/>
          </w:tcPr>
          <w:p w14:paraId="14723B81" w14:textId="6EFFB2FF" w:rsidR="00CF49C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F49C1" w14:paraId="2C9613E9" w14:textId="77777777" w:rsidTr="007713FB">
        <w:trPr>
          <w:trHeight w:val="340"/>
          <w:jc w:val="center"/>
        </w:trPr>
        <w:tc>
          <w:tcPr>
            <w:tcW w:w="1980" w:type="dxa"/>
            <w:vAlign w:val="center"/>
          </w:tcPr>
          <w:p w14:paraId="52A2212D" w14:textId="62AE2ECD" w:rsidR="00CF49C1" w:rsidRPr="0034254B" w:rsidRDefault="00CF49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4819" w:type="dxa"/>
            <w:vAlign w:val="center"/>
          </w:tcPr>
          <w:p w14:paraId="2CAA8612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第一节 公司并购</w:t>
            </w:r>
          </w:p>
          <w:p w14:paraId="24E618AA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第二节 公司重组</w:t>
            </w:r>
          </w:p>
          <w:p w14:paraId="2A4CE71C" w14:textId="77777777" w:rsidR="001E27AD" w:rsidRPr="001E27AD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第三节 财务预警</w:t>
            </w:r>
          </w:p>
          <w:p w14:paraId="30DF9A6F" w14:textId="634ADD3C" w:rsidR="00CF49C1" w:rsidRPr="0034254B" w:rsidRDefault="001E27AD" w:rsidP="007713FB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 w:hint="eastAsia"/>
              </w:rPr>
            </w:pPr>
            <w:r w:rsidRPr="001E27AD">
              <w:rPr>
                <w:rFonts w:ascii="宋体" w:eastAsia="宋体" w:hAnsi="宋体" w:hint="eastAsia"/>
              </w:rPr>
              <w:t>第四节 破产、重整与清算</w:t>
            </w:r>
          </w:p>
        </w:tc>
        <w:tc>
          <w:tcPr>
            <w:tcW w:w="1497" w:type="dxa"/>
            <w:vAlign w:val="center"/>
          </w:tcPr>
          <w:p w14:paraId="0D345B0F" w14:textId="6282C62A" w:rsidR="00CF49C1" w:rsidRPr="0034254B" w:rsidRDefault="00B628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2E9F9206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78731154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14500D5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B1CD7" w:rsidRPr="00D715F7" w14:paraId="7216926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4D43EDA7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69A34634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cs="宋体" w:hint="eastAsia"/>
              </w:rPr>
              <w:t>第一章 总论</w:t>
            </w:r>
          </w:p>
        </w:tc>
        <w:tc>
          <w:tcPr>
            <w:tcW w:w="1145" w:type="dxa"/>
            <w:vAlign w:val="center"/>
          </w:tcPr>
          <w:p w14:paraId="27FD1B00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财务管理的概念</w:t>
            </w:r>
          </w:p>
          <w:p w14:paraId="3401A94A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财务管理的目标</w:t>
            </w:r>
          </w:p>
          <w:p w14:paraId="3EC85100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企业组织形式与财务经理</w:t>
            </w:r>
          </w:p>
          <w:p w14:paraId="033C2857" w14:textId="25D85407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财务管理的环境</w:t>
            </w:r>
          </w:p>
        </w:tc>
        <w:tc>
          <w:tcPr>
            <w:tcW w:w="1145" w:type="dxa"/>
            <w:vAlign w:val="center"/>
          </w:tcPr>
          <w:p w14:paraId="35E43832" w14:textId="42010A4B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F4C9E8D" w14:textId="38ADFE64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096B3D2D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7C05D0C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3CF4A4EE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D808FEF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 w14:textId="37C91D85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cs="宋体" w:hint="eastAsia"/>
              </w:rPr>
              <w:t>第二章 财务管理的价值观念</w:t>
            </w:r>
          </w:p>
        </w:tc>
        <w:tc>
          <w:tcPr>
            <w:tcW w:w="1145" w:type="dxa"/>
            <w:vAlign w:val="center"/>
          </w:tcPr>
          <w:p w14:paraId="31A9CC7D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货币时间价值</w:t>
            </w:r>
          </w:p>
          <w:p w14:paraId="5A16B286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lastRenderedPageBreak/>
              <w:t>第二节 风险与报酬</w:t>
            </w:r>
          </w:p>
          <w:p w14:paraId="5F223490" w14:textId="33CB93B9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证券估值</w:t>
            </w:r>
          </w:p>
        </w:tc>
        <w:tc>
          <w:tcPr>
            <w:tcW w:w="1145" w:type="dxa"/>
            <w:vAlign w:val="center"/>
          </w:tcPr>
          <w:p w14:paraId="3E4758F8" w14:textId="10681575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522D0812" w14:textId="0FBF6148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249B7C8C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77CA502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2154F567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3-4</w:t>
            </w:r>
          </w:p>
        </w:tc>
        <w:tc>
          <w:tcPr>
            <w:tcW w:w="929" w:type="dxa"/>
            <w:vAlign w:val="center"/>
          </w:tcPr>
          <w:p w14:paraId="5F936FBF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 w14:textId="397E4EFC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第三章 财务分析</w:t>
            </w:r>
          </w:p>
        </w:tc>
        <w:tc>
          <w:tcPr>
            <w:tcW w:w="1145" w:type="dxa"/>
            <w:vAlign w:val="center"/>
          </w:tcPr>
          <w:p w14:paraId="44DFA46B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财务分析概述</w:t>
            </w:r>
          </w:p>
          <w:p w14:paraId="52B37356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财务能力分析</w:t>
            </w:r>
          </w:p>
          <w:p w14:paraId="495C9B9C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财务趋势分析</w:t>
            </w:r>
          </w:p>
          <w:p w14:paraId="55C33F63" w14:textId="00CA82B2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财务综合分析</w:t>
            </w:r>
          </w:p>
        </w:tc>
        <w:tc>
          <w:tcPr>
            <w:tcW w:w="1145" w:type="dxa"/>
            <w:vAlign w:val="center"/>
          </w:tcPr>
          <w:p w14:paraId="3E63A6F6" w14:textId="5357288A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008F7B9" w14:textId="23CB78F9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43142B3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5C37E19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51BB11D8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68D2738C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 w14:textId="3DA8E0F4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第四章 财务战略与预算</w:t>
            </w:r>
          </w:p>
        </w:tc>
        <w:tc>
          <w:tcPr>
            <w:tcW w:w="1145" w:type="dxa"/>
            <w:vAlign w:val="center"/>
          </w:tcPr>
          <w:p w14:paraId="746EBF4B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财务战略</w:t>
            </w:r>
          </w:p>
          <w:p w14:paraId="57AD8A3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财务预测</w:t>
            </w:r>
          </w:p>
          <w:p w14:paraId="76E17E9E" w14:textId="379B7402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财务预算</w:t>
            </w:r>
          </w:p>
        </w:tc>
        <w:tc>
          <w:tcPr>
            <w:tcW w:w="1145" w:type="dxa"/>
            <w:vAlign w:val="center"/>
          </w:tcPr>
          <w:p w14:paraId="43C35FAB" w14:textId="10A871E6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93A0F18" w14:textId="2BDB1951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0361DBBF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7B23B13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6D52D79" w14:textId="16CE9036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1B3E64D5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F0C1B" w14:textId="12CACE74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第五章 长期筹资方式</w:t>
            </w:r>
          </w:p>
        </w:tc>
        <w:tc>
          <w:tcPr>
            <w:tcW w:w="1145" w:type="dxa"/>
            <w:vAlign w:val="center"/>
          </w:tcPr>
          <w:p w14:paraId="3E54A5A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长期筹资概述</w:t>
            </w:r>
          </w:p>
          <w:p w14:paraId="50631DAE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股权性筹资</w:t>
            </w:r>
          </w:p>
          <w:p w14:paraId="05767049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债务性筹资</w:t>
            </w:r>
          </w:p>
          <w:p w14:paraId="2D7041A6" w14:textId="2BBE4C5B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混合性筹资</w:t>
            </w:r>
          </w:p>
        </w:tc>
        <w:tc>
          <w:tcPr>
            <w:tcW w:w="1145" w:type="dxa"/>
            <w:vAlign w:val="center"/>
          </w:tcPr>
          <w:p w14:paraId="46934EFA" w14:textId="0D7F2330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C49A636" w14:textId="588A8594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507A33D7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51F4D32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45E519B" w14:textId="3FCD58F8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8-9</w:t>
            </w:r>
          </w:p>
        </w:tc>
        <w:tc>
          <w:tcPr>
            <w:tcW w:w="929" w:type="dxa"/>
            <w:vAlign w:val="center"/>
          </w:tcPr>
          <w:p w14:paraId="216D89C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4AF19C" w14:textId="095EFB81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第六章 资本结构决策</w:t>
            </w:r>
          </w:p>
        </w:tc>
        <w:tc>
          <w:tcPr>
            <w:tcW w:w="1145" w:type="dxa"/>
            <w:vAlign w:val="center"/>
          </w:tcPr>
          <w:p w14:paraId="5E66408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资本结构的理论</w:t>
            </w:r>
          </w:p>
          <w:p w14:paraId="13C5AA20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资本成本的测算</w:t>
            </w:r>
          </w:p>
          <w:p w14:paraId="211C3A8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杠杆利益与风险的衡量</w:t>
            </w:r>
          </w:p>
          <w:p w14:paraId="10239324" w14:textId="52FD5F7F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资本结构决策分析</w:t>
            </w:r>
          </w:p>
        </w:tc>
        <w:tc>
          <w:tcPr>
            <w:tcW w:w="1145" w:type="dxa"/>
            <w:vAlign w:val="center"/>
          </w:tcPr>
          <w:p w14:paraId="3FD078AA" w14:textId="43DAF125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BB1DF29" w14:textId="158BA9F2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31CAF3B9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1964D3C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6DA1D5D" w14:textId="320712BD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78A5240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263A63C" w14:textId="1BE342A8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第七章 投资决策原理</w:t>
            </w:r>
          </w:p>
        </w:tc>
        <w:tc>
          <w:tcPr>
            <w:tcW w:w="1145" w:type="dxa"/>
            <w:vAlign w:val="center"/>
          </w:tcPr>
          <w:p w14:paraId="1441C591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长期投资概述</w:t>
            </w:r>
          </w:p>
          <w:p w14:paraId="3A44F90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投资现金流量的分析</w:t>
            </w:r>
          </w:p>
          <w:p w14:paraId="03119773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折现现金流量方法</w:t>
            </w:r>
          </w:p>
          <w:p w14:paraId="54EBC276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非折现现金流量方法</w:t>
            </w:r>
          </w:p>
          <w:p w14:paraId="73ED4481" w14:textId="738FFEBC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第五节 投资决策指标的比较</w:t>
            </w:r>
          </w:p>
        </w:tc>
        <w:tc>
          <w:tcPr>
            <w:tcW w:w="1145" w:type="dxa"/>
            <w:vAlign w:val="center"/>
          </w:tcPr>
          <w:p w14:paraId="7069FAAD" w14:textId="5466BC58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2CC2BBC1" w14:textId="1E5B73CA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45A9AD29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400AACD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BAB4DD7" w14:textId="322A9AD9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75D63760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174AE6" w14:textId="7880E2BF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第八章 投资决策实务</w:t>
            </w:r>
          </w:p>
        </w:tc>
        <w:tc>
          <w:tcPr>
            <w:tcW w:w="1145" w:type="dxa"/>
            <w:vAlign w:val="center"/>
          </w:tcPr>
          <w:p w14:paraId="0C06A91C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现实中现金流量的计算</w:t>
            </w:r>
          </w:p>
          <w:p w14:paraId="76925150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lastRenderedPageBreak/>
              <w:t>第二节 项目投资决策</w:t>
            </w:r>
          </w:p>
          <w:p w14:paraId="36A1181F" w14:textId="66466877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风险投资决策</w:t>
            </w:r>
          </w:p>
        </w:tc>
        <w:tc>
          <w:tcPr>
            <w:tcW w:w="1145" w:type="dxa"/>
            <w:vAlign w:val="center"/>
          </w:tcPr>
          <w:p w14:paraId="5D272A70" w14:textId="27833BEB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4293E7F9" w14:textId="3CC0E2CA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3F371AC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068E70F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947059C" w14:textId="0B6D8F29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929" w:type="dxa"/>
            <w:vAlign w:val="center"/>
          </w:tcPr>
          <w:p w14:paraId="74AF046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9485E8B" w14:textId="0387B0AD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第九章 短期资产管理</w:t>
            </w:r>
          </w:p>
        </w:tc>
        <w:tc>
          <w:tcPr>
            <w:tcW w:w="1145" w:type="dxa"/>
            <w:vAlign w:val="center"/>
          </w:tcPr>
          <w:p w14:paraId="0C04B064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营运资本管理</w:t>
            </w:r>
          </w:p>
          <w:p w14:paraId="2AEFB3E3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短期资产管理政策</w:t>
            </w:r>
          </w:p>
          <w:p w14:paraId="48D4D0D9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现金管理</w:t>
            </w:r>
          </w:p>
          <w:p w14:paraId="275CF651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短期金融资产管理</w:t>
            </w:r>
          </w:p>
          <w:p w14:paraId="346240F7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第五节 应收账款管理</w:t>
            </w:r>
          </w:p>
          <w:p w14:paraId="68600230" w14:textId="38631EC5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第六节 存货规划及控制</w:t>
            </w:r>
          </w:p>
        </w:tc>
        <w:tc>
          <w:tcPr>
            <w:tcW w:w="1145" w:type="dxa"/>
            <w:vAlign w:val="center"/>
          </w:tcPr>
          <w:p w14:paraId="4640E9D7" w14:textId="0519BE43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4357C75B" w14:textId="2CD96D1B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1987B744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167B371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2006C66" w14:textId="16F8FA9A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354B4C9D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4C6E86C" w14:textId="079196EC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第十章 短期筹资管理</w:t>
            </w:r>
          </w:p>
        </w:tc>
        <w:tc>
          <w:tcPr>
            <w:tcW w:w="1145" w:type="dxa"/>
            <w:vAlign w:val="center"/>
          </w:tcPr>
          <w:p w14:paraId="72F08EE0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短期筹资政策</w:t>
            </w:r>
          </w:p>
          <w:p w14:paraId="11A6246F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自然性筹资</w:t>
            </w:r>
          </w:p>
          <w:p w14:paraId="2DD06FF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短期借款筹资</w:t>
            </w:r>
          </w:p>
          <w:p w14:paraId="7DCF3259" w14:textId="3063648B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短期融资券</w:t>
            </w:r>
          </w:p>
        </w:tc>
        <w:tc>
          <w:tcPr>
            <w:tcW w:w="1145" w:type="dxa"/>
            <w:vAlign w:val="center"/>
          </w:tcPr>
          <w:p w14:paraId="10CB8C9A" w14:textId="68B298F8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DDA49E" w14:textId="39194BD0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310135D7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669092B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C09B1F6" w14:textId="63414353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929" w:type="dxa"/>
            <w:vAlign w:val="center"/>
          </w:tcPr>
          <w:p w14:paraId="5AFD0C99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D92871" w14:textId="77578671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第十一章 股利理论与政策</w:t>
            </w:r>
          </w:p>
        </w:tc>
        <w:tc>
          <w:tcPr>
            <w:tcW w:w="1145" w:type="dxa"/>
            <w:vAlign w:val="center"/>
          </w:tcPr>
          <w:p w14:paraId="45E67015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股利及其分配</w:t>
            </w:r>
          </w:p>
          <w:p w14:paraId="3466A7FA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股利理论</w:t>
            </w:r>
          </w:p>
          <w:p w14:paraId="6146ED32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股利政策及其选择</w:t>
            </w:r>
          </w:p>
          <w:p w14:paraId="7DF14F3D" w14:textId="79068D06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股票分割与股票回购</w:t>
            </w:r>
          </w:p>
        </w:tc>
        <w:tc>
          <w:tcPr>
            <w:tcW w:w="1145" w:type="dxa"/>
            <w:vAlign w:val="center"/>
          </w:tcPr>
          <w:p w14:paraId="2D79CF59" w14:textId="7461BC8C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5144A4C" w14:textId="6417FCAB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66730B97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CB1CD7" w:rsidRPr="00D715F7" w14:paraId="322F521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59D7E73" w14:textId="5198F7A8" w:rsidR="00CB1CD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7608D638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C0F1762" w14:textId="73CD8B6B" w:rsidR="00CB1CD7" w:rsidRPr="00CB1CD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CB1CD7">
              <w:rPr>
                <w:rFonts w:ascii="宋体" w:eastAsia="宋体" w:hAnsi="宋体" w:hint="eastAsia"/>
              </w:rPr>
              <w:t>第十二章 并购与重组</w:t>
            </w:r>
          </w:p>
        </w:tc>
        <w:tc>
          <w:tcPr>
            <w:tcW w:w="1145" w:type="dxa"/>
            <w:vAlign w:val="center"/>
          </w:tcPr>
          <w:p w14:paraId="270D2BD1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第一节 公司并购</w:t>
            </w:r>
          </w:p>
          <w:p w14:paraId="3F56B2A3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第二节 公司重组</w:t>
            </w:r>
          </w:p>
          <w:p w14:paraId="7C0FFC84" w14:textId="77777777" w:rsidR="00605BFD" w:rsidRPr="00605BFD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第三节 财务预警</w:t>
            </w:r>
          </w:p>
          <w:p w14:paraId="7A00D9F3" w14:textId="0C5743F9" w:rsidR="00CB1CD7" w:rsidRPr="00D715F7" w:rsidRDefault="00605BFD" w:rsidP="00605B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05BFD">
              <w:rPr>
                <w:rFonts w:ascii="宋体" w:eastAsia="宋体" w:hAnsi="宋体" w:hint="eastAsia"/>
                <w:szCs w:val="21"/>
              </w:rPr>
              <w:t>第四节 破产、重整与清算</w:t>
            </w:r>
          </w:p>
        </w:tc>
        <w:tc>
          <w:tcPr>
            <w:tcW w:w="1145" w:type="dxa"/>
            <w:vAlign w:val="center"/>
          </w:tcPr>
          <w:p w14:paraId="0DB626D5" w14:textId="648B42DD" w:rsidR="00CB1CD7" w:rsidRPr="00D715F7" w:rsidRDefault="000901EA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FFC6E0E" w14:textId="293FDF45" w:rsidR="00CB1CD7" w:rsidRPr="00692A0C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692A0C">
              <w:rPr>
                <w:rFonts w:ascii="宋体" w:eastAsia="宋体" w:hAnsi="宋体" w:hint="eastAsia"/>
                <w:szCs w:val="21"/>
              </w:rPr>
              <w:t>完成本章的思考题</w:t>
            </w:r>
          </w:p>
        </w:tc>
        <w:tc>
          <w:tcPr>
            <w:tcW w:w="904" w:type="dxa"/>
            <w:vAlign w:val="center"/>
          </w:tcPr>
          <w:p w14:paraId="3216DD2A" w14:textId="77777777" w:rsidR="00CB1CD7" w:rsidRPr="00D715F7" w:rsidRDefault="00CB1CD7" w:rsidP="00CB1C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38555BEE" w14:textId="4B21464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2C60B2E" w14:textId="04606035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C160E9" w:rsidRPr="00C160E9">
        <w:rPr>
          <w:rFonts w:ascii="宋体" w:eastAsia="宋体" w:hAnsi="宋体" w:hint="eastAsia"/>
        </w:rPr>
        <w:t>郭复初</w:t>
      </w:r>
      <w:r w:rsidR="00C160E9">
        <w:rPr>
          <w:rFonts w:ascii="宋体" w:eastAsia="宋体" w:hAnsi="宋体" w:hint="eastAsia"/>
        </w:rPr>
        <w:t xml:space="preserve">, </w:t>
      </w:r>
      <w:r w:rsidR="00C160E9" w:rsidRPr="00C160E9">
        <w:rPr>
          <w:rFonts w:ascii="宋体" w:eastAsia="宋体" w:hAnsi="宋体" w:hint="eastAsia"/>
        </w:rPr>
        <w:t>江涛</w:t>
      </w:r>
      <w:r w:rsidR="00C160E9">
        <w:rPr>
          <w:rFonts w:ascii="宋体" w:eastAsia="宋体" w:hAnsi="宋体" w:hint="eastAsia"/>
        </w:rPr>
        <w:t xml:space="preserve">, </w:t>
      </w:r>
      <w:r w:rsidR="00C160E9" w:rsidRPr="00C160E9">
        <w:rPr>
          <w:rFonts w:ascii="宋体" w:eastAsia="宋体" w:hAnsi="宋体" w:hint="eastAsia"/>
        </w:rPr>
        <w:t>王庆成</w:t>
      </w:r>
      <w:r w:rsidR="00C160E9">
        <w:rPr>
          <w:rFonts w:ascii="宋体" w:eastAsia="宋体" w:hAnsi="宋体" w:hint="eastAsia"/>
        </w:rPr>
        <w:t xml:space="preserve">. </w:t>
      </w:r>
      <w:r w:rsidR="00C160E9" w:rsidRPr="00C160E9">
        <w:rPr>
          <w:rFonts w:ascii="宋体" w:eastAsia="宋体" w:hAnsi="宋体" w:hint="eastAsia"/>
        </w:rPr>
        <w:t>财务管理学（第六版）</w:t>
      </w:r>
      <w:bookmarkStart w:id="19" w:name="_Hlk175966316"/>
      <w:r w:rsidR="00C160E9">
        <w:rPr>
          <w:rFonts w:ascii="宋体" w:eastAsia="宋体" w:hAnsi="宋体" w:hint="eastAsia"/>
        </w:rPr>
        <w:t>[M].</w:t>
      </w:r>
      <w:r w:rsidR="00C160E9" w:rsidRPr="00C160E9">
        <w:rPr>
          <w:rFonts w:hint="eastAsia"/>
        </w:rPr>
        <w:t xml:space="preserve"> </w:t>
      </w:r>
      <w:r w:rsidR="00C160E9" w:rsidRPr="00C160E9">
        <w:rPr>
          <w:rFonts w:ascii="宋体" w:eastAsia="宋体" w:hAnsi="宋体" w:hint="eastAsia"/>
        </w:rPr>
        <w:t>高等教育出版社</w:t>
      </w:r>
      <w:r w:rsidR="00C160E9">
        <w:rPr>
          <w:rFonts w:ascii="宋体" w:eastAsia="宋体" w:hAnsi="宋体" w:hint="eastAsia"/>
        </w:rPr>
        <w:t xml:space="preserve">, </w:t>
      </w:r>
      <w:r w:rsidR="00C160E9" w:rsidRPr="00C160E9">
        <w:rPr>
          <w:rFonts w:ascii="宋体" w:eastAsia="宋体" w:hAnsi="宋体" w:hint="eastAsia"/>
        </w:rPr>
        <w:t>2024年</w:t>
      </w:r>
      <w:r w:rsidR="00C160E9">
        <w:rPr>
          <w:rFonts w:ascii="宋体" w:eastAsia="宋体" w:hAnsi="宋体" w:hint="eastAsia"/>
        </w:rPr>
        <w:t>.</w:t>
      </w:r>
      <w:bookmarkEnd w:id="19"/>
    </w:p>
    <w:p w14:paraId="12A7C08D" w14:textId="403E038A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</w:t>
      </w:r>
      <w:r w:rsidR="00C160E9" w:rsidRPr="00C160E9">
        <w:rPr>
          <w:rFonts w:ascii="宋体" w:eastAsia="宋体" w:hAnsi="宋体" w:hint="eastAsia"/>
        </w:rPr>
        <w:t>周炜</w:t>
      </w:r>
      <w:r w:rsidR="00C160E9">
        <w:rPr>
          <w:rFonts w:ascii="宋体" w:eastAsia="宋体" w:hAnsi="宋体" w:hint="eastAsia"/>
        </w:rPr>
        <w:t xml:space="preserve">, </w:t>
      </w:r>
      <w:r w:rsidR="00C160E9" w:rsidRPr="00C160E9">
        <w:rPr>
          <w:rFonts w:ascii="宋体" w:eastAsia="宋体" w:hAnsi="宋体" w:hint="eastAsia"/>
        </w:rPr>
        <w:t>宋晓满</w:t>
      </w:r>
      <w:r w:rsidR="00C160E9">
        <w:rPr>
          <w:rFonts w:ascii="宋体" w:eastAsia="宋体" w:hAnsi="宋体" w:hint="eastAsia"/>
        </w:rPr>
        <w:t xml:space="preserve">. </w:t>
      </w:r>
      <w:r w:rsidR="00C160E9" w:rsidRPr="00C160E9">
        <w:rPr>
          <w:rFonts w:ascii="宋体" w:eastAsia="宋体" w:hAnsi="宋体" w:hint="eastAsia"/>
        </w:rPr>
        <w:t>财务管理案例分析（第四版）</w:t>
      </w:r>
      <w:bookmarkStart w:id="20" w:name="_Hlk175966446"/>
      <w:r w:rsidR="00C160E9">
        <w:rPr>
          <w:rFonts w:ascii="宋体" w:eastAsia="宋体" w:hAnsi="宋体" w:hint="eastAsia"/>
        </w:rPr>
        <w:t>[M].</w:t>
      </w:r>
      <w:r w:rsidR="00C160E9" w:rsidRPr="00C160E9">
        <w:rPr>
          <w:rFonts w:hint="eastAsia"/>
        </w:rPr>
        <w:t xml:space="preserve"> </w:t>
      </w:r>
      <w:r w:rsidR="00C160E9" w:rsidRPr="00C160E9">
        <w:rPr>
          <w:rFonts w:ascii="宋体" w:eastAsia="宋体" w:hAnsi="宋体" w:hint="eastAsia"/>
        </w:rPr>
        <w:t>立信会计出版社</w:t>
      </w:r>
      <w:r w:rsidR="00C160E9">
        <w:rPr>
          <w:rFonts w:ascii="宋体" w:eastAsia="宋体" w:hAnsi="宋体" w:hint="eastAsia"/>
        </w:rPr>
        <w:t xml:space="preserve">, </w:t>
      </w:r>
      <w:r w:rsidR="00C160E9" w:rsidRPr="00C160E9">
        <w:rPr>
          <w:rFonts w:ascii="宋体" w:eastAsia="宋体" w:hAnsi="宋体" w:hint="eastAsia"/>
        </w:rPr>
        <w:t>2024年</w:t>
      </w:r>
      <w:r w:rsidR="00C160E9">
        <w:rPr>
          <w:rFonts w:ascii="宋体" w:eastAsia="宋体" w:hAnsi="宋体" w:hint="eastAsia"/>
        </w:rPr>
        <w:t>.</w:t>
      </w:r>
      <w:bookmarkEnd w:id="20"/>
    </w:p>
    <w:p w14:paraId="6717DF34" w14:textId="28819CD0" w:rsidR="00C160E9" w:rsidRDefault="00C160E9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3.</w:t>
      </w:r>
      <w:r w:rsidRPr="00C160E9">
        <w:rPr>
          <w:rFonts w:hint="eastAsia"/>
        </w:rPr>
        <w:t xml:space="preserve"> </w:t>
      </w:r>
      <w:r w:rsidRPr="00C160E9">
        <w:rPr>
          <w:rFonts w:ascii="宋体" w:eastAsia="宋体" w:hAnsi="宋体" w:hint="eastAsia"/>
        </w:rPr>
        <w:t>端木青</w:t>
      </w:r>
      <w:r>
        <w:rPr>
          <w:rFonts w:ascii="宋体" w:eastAsia="宋体" w:hAnsi="宋体" w:hint="eastAsia"/>
        </w:rPr>
        <w:t>.</w:t>
      </w:r>
      <w:r w:rsidRPr="00C160E9">
        <w:rPr>
          <w:rFonts w:hint="eastAsia"/>
        </w:rPr>
        <w:t xml:space="preserve"> </w:t>
      </w:r>
      <w:r w:rsidRPr="00C160E9">
        <w:rPr>
          <w:rFonts w:ascii="宋体" w:eastAsia="宋体" w:hAnsi="宋体" w:hint="eastAsia"/>
        </w:rPr>
        <w:t>财务管理基础（第2版）</w:t>
      </w:r>
      <w:bookmarkStart w:id="21" w:name="_Hlk175966535"/>
      <w:r w:rsidRPr="00C160E9">
        <w:rPr>
          <w:rFonts w:ascii="宋体" w:eastAsia="宋体" w:hAnsi="宋体" w:hint="eastAsia"/>
        </w:rPr>
        <w:t>[M]. 浙江大学出版社, 20</w:t>
      </w:r>
      <w:r>
        <w:rPr>
          <w:rFonts w:ascii="宋体" w:eastAsia="宋体" w:hAnsi="宋体" w:hint="eastAsia"/>
        </w:rPr>
        <w:t>12</w:t>
      </w:r>
      <w:r w:rsidRPr="00C160E9">
        <w:rPr>
          <w:rFonts w:ascii="宋体" w:eastAsia="宋体" w:hAnsi="宋体" w:hint="eastAsia"/>
        </w:rPr>
        <w:t>年.</w:t>
      </w:r>
      <w:bookmarkEnd w:id="21"/>
    </w:p>
    <w:p w14:paraId="649C7007" w14:textId="0E425C17" w:rsidR="00C160E9" w:rsidRDefault="00C160E9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4.</w:t>
      </w:r>
      <w:r w:rsidRPr="00C160E9">
        <w:rPr>
          <w:rFonts w:hint="eastAsia"/>
        </w:rPr>
        <w:t xml:space="preserve"> </w:t>
      </w:r>
      <w:r w:rsidRPr="00C160E9">
        <w:rPr>
          <w:rFonts w:ascii="宋体" w:eastAsia="宋体" w:hAnsi="宋体" w:hint="eastAsia"/>
        </w:rPr>
        <w:t>财政部中国财经出版传媒集团</w:t>
      </w:r>
      <w:r>
        <w:rPr>
          <w:rFonts w:ascii="宋体" w:eastAsia="宋体" w:hAnsi="宋体" w:hint="eastAsia"/>
        </w:rPr>
        <w:t xml:space="preserve">. </w:t>
      </w:r>
      <w:r w:rsidRPr="00C160E9">
        <w:rPr>
          <w:rFonts w:ascii="宋体" w:eastAsia="宋体" w:hAnsi="宋体" w:hint="eastAsia"/>
        </w:rPr>
        <w:t>财务管理精讲精练[</w:t>
      </w:r>
      <w:bookmarkStart w:id="22" w:name="_Hlk175966719"/>
      <w:r w:rsidRPr="00C160E9">
        <w:rPr>
          <w:rFonts w:ascii="宋体" w:eastAsia="宋体" w:hAnsi="宋体" w:hint="eastAsia"/>
        </w:rPr>
        <w:t>M]. 经济科学出版社, 20</w:t>
      </w:r>
      <w:r>
        <w:rPr>
          <w:rFonts w:ascii="宋体" w:eastAsia="宋体" w:hAnsi="宋体" w:hint="eastAsia"/>
        </w:rPr>
        <w:t>24</w:t>
      </w:r>
      <w:r w:rsidRPr="00C160E9">
        <w:rPr>
          <w:rFonts w:ascii="宋体" w:eastAsia="宋体" w:hAnsi="宋体" w:hint="eastAsia"/>
        </w:rPr>
        <w:t>年.</w:t>
      </w:r>
      <w:bookmarkEnd w:id="22"/>
    </w:p>
    <w:p w14:paraId="489296B9" w14:textId="71C7C4B0" w:rsidR="00D417A1" w:rsidRPr="00C160E9" w:rsidRDefault="00C160E9" w:rsidP="00C160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5.</w:t>
      </w:r>
      <w:r w:rsidRPr="00C160E9">
        <w:rPr>
          <w:rFonts w:hint="eastAsia"/>
        </w:rPr>
        <w:t xml:space="preserve"> </w:t>
      </w:r>
      <w:r w:rsidRPr="00C160E9">
        <w:rPr>
          <w:rFonts w:ascii="宋体" w:eastAsia="宋体" w:hAnsi="宋体" w:hint="eastAsia"/>
        </w:rPr>
        <w:t>财政部中国财经出版传媒集团</w:t>
      </w:r>
      <w:r>
        <w:rPr>
          <w:rFonts w:ascii="宋体" w:eastAsia="宋体" w:hAnsi="宋体" w:hint="eastAsia"/>
        </w:rPr>
        <w:t xml:space="preserve">. </w:t>
      </w:r>
      <w:r w:rsidRPr="00C160E9">
        <w:rPr>
          <w:rFonts w:ascii="宋体" w:eastAsia="宋体" w:hAnsi="宋体" w:hint="eastAsia"/>
        </w:rPr>
        <w:t>财务管理要点随身记</w:t>
      </w:r>
      <w:r>
        <w:rPr>
          <w:rFonts w:ascii="宋体" w:eastAsia="宋体" w:hAnsi="宋体" w:hint="eastAsia"/>
        </w:rPr>
        <w:t>[</w:t>
      </w:r>
      <w:r w:rsidRPr="00C160E9">
        <w:rPr>
          <w:rFonts w:ascii="宋体" w:eastAsia="宋体" w:hAnsi="宋体" w:hint="eastAsia"/>
        </w:rPr>
        <w:t>M]. 经济科学出版社, 2024年.</w:t>
      </w:r>
    </w:p>
    <w:p w14:paraId="1AAD9F78" w14:textId="4F072572" w:rsidR="00E76E34" w:rsidRDefault="00E76E34" w:rsidP="00820123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4AA70CC" w14:textId="50E3E840" w:rsidR="00D417A1" w:rsidRDefault="00D417A1" w:rsidP="00DD00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1．</w:t>
      </w:r>
      <w:r w:rsidR="00DD00D5" w:rsidRPr="00DD00D5">
        <w:rPr>
          <w:rFonts w:ascii="宋体" w:eastAsia="宋体" w:hAnsi="宋体" w:hint="eastAsia"/>
        </w:rPr>
        <w:t>讲授法。本课程教学主要采用讲授法进行，围绕</w:t>
      </w:r>
      <w:r w:rsidR="00DD00D5">
        <w:rPr>
          <w:rFonts w:ascii="宋体" w:eastAsia="宋体" w:hAnsi="宋体" w:hint="eastAsia"/>
        </w:rPr>
        <w:t>财务管理</w:t>
      </w:r>
      <w:r w:rsidR="00DD00D5" w:rsidRPr="00DD00D5">
        <w:rPr>
          <w:rFonts w:ascii="宋体" w:eastAsia="宋体" w:hAnsi="宋体" w:hint="eastAsia"/>
        </w:rPr>
        <w:t>、</w:t>
      </w:r>
      <w:r w:rsidR="00DD00D5">
        <w:rPr>
          <w:rFonts w:ascii="宋体" w:eastAsia="宋体" w:hAnsi="宋体" w:hint="eastAsia"/>
        </w:rPr>
        <w:t>投资决策原理、并购与重组</w:t>
      </w:r>
      <w:r w:rsidR="00DD00D5" w:rsidRPr="00DD00D5">
        <w:rPr>
          <w:rFonts w:ascii="宋体" w:eastAsia="宋体" w:hAnsi="宋体" w:hint="eastAsia"/>
        </w:rPr>
        <w:t>等，并引导学生积极参与和思考。</w:t>
      </w:r>
    </w:p>
    <w:p w14:paraId="59B62131" w14:textId="62C0033C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lastRenderedPageBreak/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265BE25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7900DA03" w14:textId="33E69AAC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3385"/>
        <w:gridCol w:w="2313"/>
      </w:tblGrid>
      <w:tr w:rsidR="00D417A1" w14:paraId="12C99193" w14:textId="77777777" w:rsidTr="009F7979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385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313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9F7979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3385" w:type="dxa"/>
            <w:vAlign w:val="center"/>
          </w:tcPr>
          <w:p w14:paraId="1756995F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1．1  总论</w:t>
            </w:r>
          </w:p>
          <w:p w14:paraId="70468B34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1．2  财务管理的价值观念</w:t>
            </w:r>
          </w:p>
          <w:p w14:paraId="5D5744D9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1．3  财务分析</w:t>
            </w:r>
          </w:p>
          <w:p w14:paraId="77F91584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1．4  财务战略与预算</w:t>
            </w:r>
          </w:p>
          <w:p w14:paraId="29BB5D3E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1．5  长期筹资方式</w:t>
            </w:r>
          </w:p>
          <w:p w14:paraId="5C4AE4D5" w14:textId="13F4E9C5" w:rsidR="00D417A1" w:rsidRPr="00946FED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1．6  资本结构决策</w:t>
            </w:r>
          </w:p>
        </w:tc>
        <w:tc>
          <w:tcPr>
            <w:tcW w:w="2313" w:type="dxa"/>
            <w:vAlign w:val="center"/>
          </w:tcPr>
          <w:p w14:paraId="4039B16C" w14:textId="79A8B447" w:rsidR="00D417A1" w:rsidRPr="00946FED" w:rsidRDefault="00946FED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46FED">
              <w:rPr>
                <w:rFonts w:hAnsi="宋体" w:hint="eastAsia"/>
                <w:bCs/>
              </w:rPr>
              <w:t>考试</w:t>
            </w:r>
          </w:p>
        </w:tc>
      </w:tr>
      <w:tr w:rsidR="00D417A1" w14:paraId="56723FCC" w14:textId="77777777" w:rsidTr="009F7979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3385" w:type="dxa"/>
            <w:vAlign w:val="center"/>
          </w:tcPr>
          <w:p w14:paraId="4D2D06EB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2．1  投资决策原理</w:t>
            </w:r>
          </w:p>
          <w:p w14:paraId="536F37CB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2．2  投资决策实务</w:t>
            </w:r>
          </w:p>
          <w:p w14:paraId="6CBC3917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2．3  短期资产管理</w:t>
            </w:r>
          </w:p>
          <w:p w14:paraId="0BE7191A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2．4  短期筹资管理</w:t>
            </w:r>
          </w:p>
          <w:p w14:paraId="3BBAA3BB" w14:textId="77777777" w:rsidR="009F7979" w:rsidRPr="009F7979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2．5  股利理论与政策</w:t>
            </w:r>
          </w:p>
          <w:p w14:paraId="29722B31" w14:textId="02281A00" w:rsidR="00D417A1" w:rsidRPr="00946FED" w:rsidRDefault="009F7979" w:rsidP="009F79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hint="eastAsia"/>
                <w:bCs/>
              </w:rPr>
            </w:pPr>
            <w:r w:rsidRPr="009F7979">
              <w:rPr>
                <w:rFonts w:hAnsi="宋体" w:hint="eastAsia"/>
                <w:bCs/>
              </w:rPr>
              <w:t>2．6  并购与重组</w:t>
            </w:r>
          </w:p>
        </w:tc>
        <w:tc>
          <w:tcPr>
            <w:tcW w:w="2313" w:type="dxa"/>
            <w:vAlign w:val="center"/>
          </w:tcPr>
          <w:p w14:paraId="1BEFB7FE" w14:textId="1027D08F" w:rsidR="00D417A1" w:rsidRPr="00946FED" w:rsidRDefault="00946FED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946FED">
              <w:rPr>
                <w:rFonts w:hAnsi="宋体" w:hint="eastAsia"/>
                <w:bCs/>
              </w:rPr>
              <w:t>考试</w:t>
            </w:r>
          </w:p>
        </w:tc>
      </w:tr>
    </w:tbl>
    <w:p w14:paraId="2C82E763" w14:textId="145AA47A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34F39257" w14:textId="6B9F2641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7F41D11E" w14:textId="54616009" w:rsidR="00C54636" w:rsidRDefault="0024770E" w:rsidP="00DD7B5F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24770E">
        <w:rPr>
          <w:rFonts w:ascii="宋体" w:eastAsia="宋体" w:hAnsi="宋体" w:hint="eastAsia"/>
        </w:rPr>
        <w:t>平时成绩：30%，期中考试：30%，期末考试40%。</w:t>
      </w:r>
    </w:p>
    <w:p w14:paraId="1B0070F9" w14:textId="1FB1F232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AFACAB5" w14:textId="24981F0E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4770E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51E30B07" w:rsidR="0024770E" w:rsidRPr="00322986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-2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E762D6" w14:textId="77777777" w:rsidR="0024770E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0B7A43">
              <w:rPr>
                <w:rFonts w:ascii="宋体" w:eastAsia="宋体" w:hAnsi="宋体"/>
                <w:kern w:val="0"/>
                <w:szCs w:val="21"/>
              </w:rPr>
              <w:t>0%</w:t>
            </w:r>
          </w:p>
          <w:p w14:paraId="7BF3CF39" w14:textId="23C77540" w:rsidR="0024770E" w:rsidRPr="00322986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平时作业和课堂表现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E9D2FF" w14:textId="77777777" w:rsidR="0024770E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  <w:p w14:paraId="5361B91D" w14:textId="665043B2" w:rsidR="0024770E" w:rsidRPr="00322986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期中考试</w:t>
            </w:r>
          </w:p>
        </w:tc>
        <w:tc>
          <w:tcPr>
            <w:tcW w:w="1134" w:type="dxa"/>
            <w:vAlign w:val="center"/>
          </w:tcPr>
          <w:p w14:paraId="3041F34F" w14:textId="77777777" w:rsidR="0024770E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  <w:p w14:paraId="67076DAB" w14:textId="6D1FE9E6" w:rsidR="0024770E" w:rsidRPr="00322986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期末考试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0714B0" w14:textId="7C5D1257" w:rsidR="0024770E" w:rsidRPr="0032298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平时作业和课堂表现30%+期中考试30%+期末考试40%</w:t>
            </w:r>
          </w:p>
        </w:tc>
      </w:tr>
    </w:tbl>
    <w:p w14:paraId="30E94498" w14:textId="39742404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4770E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24770E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17ADDC78" w:rsidR="0024770E" w:rsidRPr="00F56396" w:rsidRDefault="0024770E" w:rsidP="0024770E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E3A3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1.平时表现：按时上课，不迟到、不早退，积极参与课堂问答，高质量完成课堂作业。</w:t>
            </w:r>
          </w:p>
          <w:p w14:paraId="36CFC6AC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2.期中考试：考试成绩在90-100分。</w:t>
            </w:r>
          </w:p>
          <w:p w14:paraId="571E0937" w14:textId="5C0581E2" w:rsidR="0024770E" w:rsidRPr="00F5639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3.期末考试：考试成绩在90-100分。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AD4A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1.平时表现：按时上课，不迟到、不早退，参与课堂问答，认真完成课堂作业。</w:t>
            </w:r>
          </w:p>
          <w:p w14:paraId="7D88E930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2.期中考试：考试成绩在80-89分。</w:t>
            </w:r>
          </w:p>
          <w:p w14:paraId="3654692F" w14:textId="0866D991" w:rsidR="0024770E" w:rsidRPr="00F5639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3.期末考试：考试成绩在80-89分。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3E5B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1.平时表现：按时上课，不迟到、不早退，认真完成课堂作业。</w:t>
            </w:r>
          </w:p>
          <w:p w14:paraId="0026091F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2.期中考试：考试成绩在70-79分。</w:t>
            </w:r>
          </w:p>
          <w:p w14:paraId="5F54009F" w14:textId="4E3898A4" w:rsidR="0024770E" w:rsidRPr="00F5639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3.期末考试：考试成绩在70-79分。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620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1.平时表现：按时上课，不迟到、不早退，完成课堂作业。</w:t>
            </w:r>
          </w:p>
          <w:p w14:paraId="230BDD17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2.期中考试：考试成绩在60-69分。</w:t>
            </w:r>
          </w:p>
          <w:p w14:paraId="34A8B7B8" w14:textId="192D91C0" w:rsidR="0024770E" w:rsidRPr="00F5639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3.期末考试：考试成绩在60-69分。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6CA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1.平时表现：出现多次迟到、早退现象，没有完成课堂作业。</w:t>
            </w:r>
          </w:p>
          <w:p w14:paraId="3B6B9429" w14:textId="77777777" w:rsidR="0024770E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2.期中考试：考试成绩</w:t>
            </w:r>
            <w:r w:rsidRPr="009E2030">
              <w:rPr>
                <w:rFonts w:ascii="宋体" w:eastAsia="宋体" w:hAnsi="宋体" w:hint="eastAsia"/>
                <w:szCs w:val="21"/>
              </w:rPr>
              <w:t>＜</w:t>
            </w:r>
            <w:r w:rsidRPr="009E2030">
              <w:rPr>
                <w:rFonts w:ascii="宋体" w:eastAsia="宋体" w:hAnsi="宋体"/>
                <w:szCs w:val="21"/>
              </w:rPr>
              <w:t>60</w:t>
            </w:r>
            <w:r>
              <w:rPr>
                <w:rFonts w:ascii="宋体" w:eastAsia="宋体" w:hAnsi="宋体" w:hint="eastAsia"/>
                <w:szCs w:val="21"/>
              </w:rPr>
              <w:t>分。</w:t>
            </w:r>
          </w:p>
          <w:p w14:paraId="479CCD28" w14:textId="291FCC40" w:rsidR="0024770E" w:rsidRPr="00F56396" w:rsidRDefault="0024770E" w:rsidP="0024770E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3.期末考试：考试成绩</w:t>
            </w:r>
            <w:r w:rsidRPr="009E2030">
              <w:rPr>
                <w:rFonts w:ascii="宋体" w:eastAsia="宋体" w:hAnsi="宋体" w:hint="eastAsia"/>
                <w:szCs w:val="21"/>
              </w:rPr>
              <w:t>＜</w:t>
            </w:r>
            <w:r w:rsidRPr="009E2030">
              <w:rPr>
                <w:rFonts w:ascii="宋体" w:eastAsia="宋体" w:hAnsi="宋体"/>
                <w:szCs w:val="21"/>
              </w:rPr>
              <w:t>60</w:t>
            </w:r>
            <w:r>
              <w:rPr>
                <w:rFonts w:ascii="宋体" w:eastAsia="宋体" w:hAnsi="宋体" w:hint="eastAsia"/>
                <w:szCs w:val="21"/>
              </w:rPr>
              <w:t>分。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 w:hint="eastAsia"/>
        </w:rPr>
      </w:pPr>
    </w:p>
    <w:sectPr w:rsidR="00F56396" w:rsidRPr="00F5639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FA3BE" w14:textId="77777777" w:rsidR="00C35A58" w:rsidRDefault="00C35A58" w:rsidP="00AA630A">
      <w:pPr>
        <w:rPr>
          <w:rFonts w:hint="eastAsia"/>
        </w:rPr>
      </w:pPr>
      <w:r>
        <w:separator/>
      </w:r>
    </w:p>
  </w:endnote>
  <w:endnote w:type="continuationSeparator" w:id="0">
    <w:p w14:paraId="1C363471" w14:textId="77777777" w:rsidR="00C35A58" w:rsidRDefault="00C35A58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8947440"/>
      <w:docPartObj>
        <w:docPartGallery w:val="Page Numbers (Bottom of Page)"/>
        <w:docPartUnique/>
      </w:docPartObj>
    </w:sdtPr>
    <w:sdtContent>
      <w:p w14:paraId="3DE656B9" w14:textId="229B5EFA" w:rsidR="00112158" w:rsidRDefault="00112158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CCF457F" w14:textId="77777777" w:rsidR="00112158" w:rsidRDefault="00112158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47B94" w14:textId="77777777" w:rsidR="00C35A58" w:rsidRDefault="00C35A58" w:rsidP="00AA630A">
      <w:pPr>
        <w:rPr>
          <w:rFonts w:hint="eastAsia"/>
        </w:rPr>
      </w:pPr>
      <w:r>
        <w:separator/>
      </w:r>
    </w:p>
  </w:footnote>
  <w:footnote w:type="continuationSeparator" w:id="0">
    <w:p w14:paraId="3E93535D" w14:textId="77777777" w:rsidR="00C35A58" w:rsidRDefault="00C35A58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48964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1A8B"/>
    <w:rsid w:val="00022CBB"/>
    <w:rsid w:val="00040612"/>
    <w:rsid w:val="000445FF"/>
    <w:rsid w:val="00060E06"/>
    <w:rsid w:val="00060E88"/>
    <w:rsid w:val="00077A5F"/>
    <w:rsid w:val="000901EA"/>
    <w:rsid w:val="000A400B"/>
    <w:rsid w:val="000E67C2"/>
    <w:rsid w:val="000F054A"/>
    <w:rsid w:val="00110701"/>
    <w:rsid w:val="00112158"/>
    <w:rsid w:val="00164BF9"/>
    <w:rsid w:val="00195766"/>
    <w:rsid w:val="001C25D8"/>
    <w:rsid w:val="001E27AD"/>
    <w:rsid w:val="001E5724"/>
    <w:rsid w:val="001F754C"/>
    <w:rsid w:val="00205860"/>
    <w:rsid w:val="00211878"/>
    <w:rsid w:val="00225D54"/>
    <w:rsid w:val="00237EBB"/>
    <w:rsid w:val="00242673"/>
    <w:rsid w:val="0024770E"/>
    <w:rsid w:val="00284B06"/>
    <w:rsid w:val="00285327"/>
    <w:rsid w:val="002A7568"/>
    <w:rsid w:val="00302065"/>
    <w:rsid w:val="00306C21"/>
    <w:rsid w:val="00313A87"/>
    <w:rsid w:val="003206BD"/>
    <w:rsid w:val="00322986"/>
    <w:rsid w:val="003374DB"/>
    <w:rsid w:val="0034254B"/>
    <w:rsid w:val="00342E80"/>
    <w:rsid w:val="00374617"/>
    <w:rsid w:val="0038665C"/>
    <w:rsid w:val="00394B45"/>
    <w:rsid w:val="0039511A"/>
    <w:rsid w:val="003E2AEC"/>
    <w:rsid w:val="004070CF"/>
    <w:rsid w:val="00413126"/>
    <w:rsid w:val="00443C38"/>
    <w:rsid w:val="00470FB4"/>
    <w:rsid w:val="004A2A16"/>
    <w:rsid w:val="004C44FD"/>
    <w:rsid w:val="00564FBF"/>
    <w:rsid w:val="005A0378"/>
    <w:rsid w:val="005A6FCB"/>
    <w:rsid w:val="005B7E9D"/>
    <w:rsid w:val="005C25EF"/>
    <w:rsid w:val="00605BFD"/>
    <w:rsid w:val="006534E2"/>
    <w:rsid w:val="00665621"/>
    <w:rsid w:val="006815FB"/>
    <w:rsid w:val="006854D9"/>
    <w:rsid w:val="006924C4"/>
    <w:rsid w:val="00692A0C"/>
    <w:rsid w:val="006D367B"/>
    <w:rsid w:val="006E4F82"/>
    <w:rsid w:val="006F64C9"/>
    <w:rsid w:val="0070136B"/>
    <w:rsid w:val="007639A2"/>
    <w:rsid w:val="007713FB"/>
    <w:rsid w:val="007C379D"/>
    <w:rsid w:val="007C62ED"/>
    <w:rsid w:val="007D4ABF"/>
    <w:rsid w:val="007D7549"/>
    <w:rsid w:val="007D7DE7"/>
    <w:rsid w:val="007E39E3"/>
    <w:rsid w:val="008128AD"/>
    <w:rsid w:val="00820123"/>
    <w:rsid w:val="00840D05"/>
    <w:rsid w:val="008560E2"/>
    <w:rsid w:val="0085788F"/>
    <w:rsid w:val="00886EBF"/>
    <w:rsid w:val="008B76E2"/>
    <w:rsid w:val="008F45F3"/>
    <w:rsid w:val="00900E09"/>
    <w:rsid w:val="009278C0"/>
    <w:rsid w:val="00946FED"/>
    <w:rsid w:val="00956848"/>
    <w:rsid w:val="00965032"/>
    <w:rsid w:val="00971893"/>
    <w:rsid w:val="00972FA8"/>
    <w:rsid w:val="00974E8D"/>
    <w:rsid w:val="0098708E"/>
    <w:rsid w:val="0099176D"/>
    <w:rsid w:val="009B02AC"/>
    <w:rsid w:val="009C5538"/>
    <w:rsid w:val="009C7151"/>
    <w:rsid w:val="009D1798"/>
    <w:rsid w:val="009D7163"/>
    <w:rsid w:val="009E6AAB"/>
    <w:rsid w:val="009F7979"/>
    <w:rsid w:val="00A03BBD"/>
    <w:rsid w:val="00A07673"/>
    <w:rsid w:val="00A443CB"/>
    <w:rsid w:val="00A61EFD"/>
    <w:rsid w:val="00AA4570"/>
    <w:rsid w:val="00AA630A"/>
    <w:rsid w:val="00AC4C68"/>
    <w:rsid w:val="00AE3D1A"/>
    <w:rsid w:val="00AE5CA1"/>
    <w:rsid w:val="00AF1822"/>
    <w:rsid w:val="00B03909"/>
    <w:rsid w:val="00B10760"/>
    <w:rsid w:val="00B270D6"/>
    <w:rsid w:val="00B40ECD"/>
    <w:rsid w:val="00B46ADC"/>
    <w:rsid w:val="00B47312"/>
    <w:rsid w:val="00B56BC8"/>
    <w:rsid w:val="00B62871"/>
    <w:rsid w:val="00BA23F0"/>
    <w:rsid w:val="00C00798"/>
    <w:rsid w:val="00C160E9"/>
    <w:rsid w:val="00C24BDE"/>
    <w:rsid w:val="00C35A58"/>
    <w:rsid w:val="00C54636"/>
    <w:rsid w:val="00C565CE"/>
    <w:rsid w:val="00CA53B2"/>
    <w:rsid w:val="00CB1CD7"/>
    <w:rsid w:val="00CE0DF6"/>
    <w:rsid w:val="00CF49C1"/>
    <w:rsid w:val="00D02F99"/>
    <w:rsid w:val="00D13271"/>
    <w:rsid w:val="00D14471"/>
    <w:rsid w:val="00D330E1"/>
    <w:rsid w:val="00D417A1"/>
    <w:rsid w:val="00D4317C"/>
    <w:rsid w:val="00D46166"/>
    <w:rsid w:val="00D504B7"/>
    <w:rsid w:val="00D715F7"/>
    <w:rsid w:val="00DC2FAD"/>
    <w:rsid w:val="00DC3CF0"/>
    <w:rsid w:val="00DD00D5"/>
    <w:rsid w:val="00DD5493"/>
    <w:rsid w:val="00DD7B5F"/>
    <w:rsid w:val="00DE7849"/>
    <w:rsid w:val="00DF630D"/>
    <w:rsid w:val="00E05E8B"/>
    <w:rsid w:val="00E208D1"/>
    <w:rsid w:val="00E366AB"/>
    <w:rsid w:val="00E74920"/>
    <w:rsid w:val="00E76E34"/>
    <w:rsid w:val="00ED7F81"/>
    <w:rsid w:val="00EF6DAD"/>
    <w:rsid w:val="00F552ED"/>
    <w:rsid w:val="00F56396"/>
    <w:rsid w:val="00F96B3E"/>
    <w:rsid w:val="00FA05D3"/>
    <w:rsid w:val="00FA2B1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19</Pages>
  <Words>1034</Words>
  <Characters>5895</Characters>
  <Application>Microsoft Office Word</Application>
  <DocSecurity>0</DocSecurity>
  <Lines>49</Lines>
  <Paragraphs>13</Paragraphs>
  <ScaleCrop>false</ScaleCrop>
  <Company>P R C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Zhouzhou Lin</cp:lastModifiedBy>
  <cp:revision>185</cp:revision>
  <cp:lastPrinted>2020-12-24T07:17:00Z</cp:lastPrinted>
  <dcterms:created xsi:type="dcterms:W3CDTF">2020-12-08T08:33:00Z</dcterms:created>
  <dcterms:modified xsi:type="dcterms:W3CDTF">2024-08-30T19:35:00Z</dcterms:modified>
</cp:coreProperties>
</file>